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DCFBC" w14:textId="3CDE2713" w:rsidR="00895365" w:rsidRDefault="003816E4" w:rsidP="00895365">
      <w:pPr>
        <w:pStyle w:val="HeaderReference"/>
      </w:pPr>
      <w:r>
        <w:t>ISO Strategic Partnership Unit – Partner Assessment (Technical)</w:t>
      </w:r>
    </w:p>
    <w:p w14:paraId="6AB729D9" w14:textId="77777777" w:rsidR="00895365" w:rsidRPr="00C93D94" w:rsidRDefault="00895365" w:rsidP="00895365">
      <w:pPr>
        <w:pStyle w:val="HeaderDate"/>
      </w:pPr>
      <w:r>
        <w:t>Date</w:t>
      </w:r>
    </w:p>
    <w:p w14:paraId="0FCD5FC6" w14:textId="348F042A" w:rsidR="000C2CEA" w:rsidRPr="003816E4" w:rsidRDefault="003816E4" w:rsidP="000C2CEA">
      <w:pPr>
        <w:pStyle w:val="Title"/>
        <w:rPr>
          <w:lang w:val="en-US"/>
        </w:rPr>
      </w:pPr>
      <w:r>
        <w:rPr>
          <w:rFonts w:hint="eastAsia"/>
          <w:lang w:eastAsia="zh-CN"/>
        </w:rPr>
        <w:t>ISO</w:t>
      </w:r>
      <w:r>
        <w:rPr>
          <w:lang w:val="en-US" w:eastAsia="zh-CN"/>
        </w:rPr>
        <w:t xml:space="preserve"> PSDO cooperation initial assessment</w:t>
      </w:r>
    </w:p>
    <w:p w14:paraId="4B402154" w14:textId="77777777" w:rsidR="003816E4" w:rsidRDefault="003816E4" w:rsidP="003816E4">
      <w:pPr>
        <w:jc w:val="both"/>
      </w:pPr>
      <w:r>
        <w:t xml:space="preserve">This document aims to assess eligibility, synergy and most optimal cooperation mechanism between the partner and ISO, for technical cooperation. </w:t>
      </w:r>
    </w:p>
    <w:p w14:paraId="055B26FA" w14:textId="678743C7" w:rsidR="003816E4" w:rsidRPr="000C2CEA" w:rsidRDefault="003816E4" w:rsidP="003816E4">
      <w:pPr>
        <w:jc w:val="both"/>
      </w:pPr>
      <w:r>
        <w:t xml:space="preserve">Question or enquiries, if any, should be sent to </w:t>
      </w:r>
      <w:hyperlink r:id="rId11" w:history="1">
        <w:r w:rsidRPr="00ED4A1E">
          <w:rPr>
            <w:rStyle w:val="Hyperlink"/>
          </w:rPr>
          <w:t>partnership@iso.org</w:t>
        </w:r>
      </w:hyperlink>
      <w:r>
        <w:t xml:space="preserve">. </w:t>
      </w:r>
    </w:p>
    <w:p w14:paraId="2B6DC7EC" w14:textId="023D0DDA" w:rsidR="00FC49C6" w:rsidRPr="003816E4" w:rsidRDefault="003816E4" w:rsidP="003816E4">
      <w:pPr>
        <w:pStyle w:val="Heading1Itemmanual"/>
        <w:numPr>
          <w:ilvl w:val="0"/>
          <w:numId w:val="32"/>
        </w:numPr>
        <w:rPr>
          <w:lang w:val="en-US" w:eastAsia="zh-CN"/>
        </w:rPr>
      </w:pPr>
      <w:r>
        <w:rPr>
          <w:lang w:eastAsia="zh-CN"/>
        </w:rPr>
        <w:t xml:space="preserve">Partner Information </w:t>
      </w:r>
    </w:p>
    <w:tbl>
      <w:tblPr>
        <w:tblStyle w:val="ISOTable2"/>
        <w:tblW w:w="0" w:type="auto"/>
        <w:tblLook w:val="04A0" w:firstRow="1" w:lastRow="0" w:firstColumn="1" w:lastColumn="0" w:noHBand="0" w:noVBand="1"/>
      </w:tblPr>
      <w:tblGrid>
        <w:gridCol w:w="9628"/>
      </w:tblGrid>
      <w:tr w:rsidR="003816E4" w14:paraId="02BAE52A" w14:textId="77777777" w:rsidTr="003816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14:paraId="3918AD3E" w14:textId="4AC87B67" w:rsidR="003816E4" w:rsidRDefault="003816E4" w:rsidP="003816E4">
            <w:pPr>
              <w:jc w:val="center"/>
            </w:pPr>
            <w:r>
              <w:t>Basic Information</w:t>
            </w:r>
          </w:p>
        </w:tc>
      </w:tr>
      <w:tr w:rsidR="003816E4" w14:paraId="44982113" w14:textId="77777777" w:rsidTr="00BD2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bottom w:val="single" w:sz="4" w:space="0" w:color="E3000F" w:themeColor="accent1"/>
            </w:tcBorders>
          </w:tcPr>
          <w:p w14:paraId="6E2961C1" w14:textId="2E2D711C" w:rsidR="003816E4" w:rsidRPr="003816E4" w:rsidRDefault="003816E4" w:rsidP="003816E4">
            <w:pPr>
              <w:pStyle w:val="ListParagraph"/>
              <w:numPr>
                <w:ilvl w:val="0"/>
                <w:numId w:val="30"/>
              </w:numPr>
              <w:ind w:left="343"/>
              <w:rPr>
                <w:bCs/>
              </w:rPr>
            </w:pPr>
            <w:r w:rsidRPr="003816E4">
              <w:rPr>
                <w:bCs/>
              </w:rPr>
              <w:t>Partner Organization Name</w:t>
            </w:r>
          </w:p>
        </w:tc>
      </w:tr>
      <w:tr w:rsidR="003816E4" w14:paraId="266FA2CB" w14:textId="77777777" w:rsidTr="003816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themeColor="accent1"/>
              <w:left w:val="single" w:sz="4" w:space="0" w:color="E3000F" w:themeColor="accent1"/>
              <w:bottom w:val="single" w:sz="4" w:space="0" w:color="E3000F" w:themeColor="accent1"/>
              <w:right w:val="single" w:sz="4" w:space="0" w:color="E3000F" w:themeColor="accent1"/>
            </w:tcBorders>
          </w:tcPr>
          <w:p w14:paraId="4FB323C2" w14:textId="77777777" w:rsidR="003816E4" w:rsidRDefault="003816E4" w:rsidP="003816E4"/>
        </w:tc>
      </w:tr>
      <w:tr w:rsidR="003816E4" w14:paraId="6E39577C" w14:textId="77777777" w:rsidTr="00462C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themeColor="accent1"/>
              <w:bottom w:val="single" w:sz="4" w:space="0" w:color="E3000F" w:themeColor="accent1"/>
            </w:tcBorders>
          </w:tcPr>
          <w:p w14:paraId="58311682" w14:textId="28D56C81" w:rsidR="003816E4" w:rsidRPr="003816E4" w:rsidRDefault="003816E4" w:rsidP="003816E4">
            <w:pPr>
              <w:pStyle w:val="ListParagraph"/>
              <w:numPr>
                <w:ilvl w:val="0"/>
                <w:numId w:val="30"/>
              </w:numPr>
              <w:ind w:left="343"/>
              <w:rPr>
                <w:bCs/>
              </w:rPr>
            </w:pPr>
            <w:r w:rsidRPr="003816E4">
              <w:rPr>
                <w:bCs/>
              </w:rPr>
              <w:t>Contact Person (name, title, and contact details)</w:t>
            </w:r>
          </w:p>
        </w:tc>
      </w:tr>
      <w:tr w:rsidR="003816E4" w14:paraId="794DBCA1" w14:textId="77777777" w:rsidTr="003816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themeColor="accent1"/>
              <w:left w:val="single" w:sz="4" w:space="0" w:color="E3000F" w:themeColor="accent1"/>
              <w:bottom w:val="single" w:sz="4" w:space="0" w:color="E3000F" w:themeColor="accent1"/>
              <w:right w:val="single" w:sz="4" w:space="0" w:color="E3000F" w:themeColor="accent1"/>
            </w:tcBorders>
          </w:tcPr>
          <w:p w14:paraId="1CC2D40D" w14:textId="77777777" w:rsidR="003816E4" w:rsidRDefault="003816E4" w:rsidP="003816E4"/>
        </w:tc>
      </w:tr>
      <w:tr w:rsidR="00BA41C8" w14:paraId="734879FC" w14:textId="77777777" w:rsidTr="00AD67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themeColor="accent1"/>
              <w:bottom w:val="single" w:sz="4" w:space="0" w:color="E3000F"/>
            </w:tcBorders>
          </w:tcPr>
          <w:p w14:paraId="4183AB1E" w14:textId="54A7F84C" w:rsidR="00BA41C8" w:rsidRPr="00BA41C8" w:rsidRDefault="00BA41C8" w:rsidP="00BA41C8">
            <w:pPr>
              <w:pStyle w:val="ListParagraph"/>
              <w:numPr>
                <w:ilvl w:val="0"/>
                <w:numId w:val="30"/>
              </w:numPr>
              <w:ind w:left="343"/>
              <w:rPr>
                <w:b w:val="0"/>
                <w:bCs/>
              </w:rPr>
            </w:pPr>
            <w:r w:rsidRPr="00BA41C8">
              <w:rPr>
                <w:bCs/>
              </w:rPr>
              <w:t>Address</w:t>
            </w:r>
          </w:p>
        </w:tc>
      </w:tr>
      <w:tr w:rsidR="003816E4" w14:paraId="356407D2" w14:textId="77777777" w:rsidTr="00BA41C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left w:val="single" w:sz="4" w:space="0" w:color="E3000F"/>
              <w:bottom w:val="single" w:sz="4" w:space="0" w:color="E3000F"/>
              <w:right w:val="single" w:sz="4" w:space="0" w:color="E3000F"/>
            </w:tcBorders>
          </w:tcPr>
          <w:p w14:paraId="6BAF0BC9" w14:textId="77777777" w:rsidR="003816E4" w:rsidRDefault="003816E4" w:rsidP="003816E4"/>
        </w:tc>
      </w:tr>
      <w:tr w:rsidR="00BA41C8" w14:paraId="76EB582D" w14:textId="77777777" w:rsidTr="00BA4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bottom w:val="single" w:sz="4" w:space="0" w:color="E3000F"/>
            </w:tcBorders>
          </w:tcPr>
          <w:p w14:paraId="76996CAE" w14:textId="5DE5E714" w:rsidR="00BA41C8" w:rsidRPr="00BA41C8" w:rsidRDefault="00BA41C8" w:rsidP="00BA41C8">
            <w:pPr>
              <w:pStyle w:val="ListParagraph"/>
              <w:numPr>
                <w:ilvl w:val="0"/>
                <w:numId w:val="30"/>
              </w:numPr>
              <w:ind w:left="343"/>
            </w:pPr>
            <w:r w:rsidRPr="00BA41C8">
              <w:rPr>
                <w:bCs/>
              </w:rPr>
              <w:t>Website</w:t>
            </w:r>
          </w:p>
        </w:tc>
      </w:tr>
      <w:tr w:rsidR="00BA41C8" w14:paraId="047E0381" w14:textId="77777777" w:rsidTr="00BA41C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left w:val="single" w:sz="4" w:space="0" w:color="E3000F"/>
              <w:bottom w:val="single" w:sz="4" w:space="0" w:color="E3000F"/>
              <w:right w:val="single" w:sz="4" w:space="0" w:color="E3000F"/>
            </w:tcBorders>
          </w:tcPr>
          <w:p w14:paraId="4BD6A4D3" w14:textId="77777777" w:rsidR="00BA41C8" w:rsidRDefault="00BA41C8" w:rsidP="003816E4"/>
        </w:tc>
      </w:tr>
      <w:tr w:rsidR="00BA41C8" w14:paraId="63A9C20C" w14:textId="77777777" w:rsidTr="00BA4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bottom w:val="single" w:sz="4" w:space="0" w:color="E3000F"/>
            </w:tcBorders>
          </w:tcPr>
          <w:p w14:paraId="05388097" w14:textId="646FB5A7" w:rsidR="00BA41C8" w:rsidRPr="00BA41C8" w:rsidRDefault="00BA41C8" w:rsidP="00BA41C8">
            <w:pPr>
              <w:pStyle w:val="ListParagraph"/>
              <w:numPr>
                <w:ilvl w:val="0"/>
                <w:numId w:val="30"/>
              </w:numPr>
              <w:ind w:left="343"/>
            </w:pPr>
            <w:r w:rsidRPr="00BA41C8">
              <w:rPr>
                <w:bCs/>
              </w:rPr>
              <w:t>Date of Establishment</w:t>
            </w:r>
          </w:p>
        </w:tc>
      </w:tr>
      <w:tr w:rsidR="00BA41C8" w14:paraId="3C6D98CC" w14:textId="77777777" w:rsidTr="00BA41C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left w:val="single" w:sz="4" w:space="0" w:color="E3000F"/>
              <w:bottom w:val="single" w:sz="4" w:space="0" w:color="E3000F"/>
              <w:right w:val="single" w:sz="4" w:space="0" w:color="E3000F"/>
            </w:tcBorders>
          </w:tcPr>
          <w:p w14:paraId="2B38C86C" w14:textId="77777777" w:rsidR="00BA41C8" w:rsidRDefault="00BA41C8" w:rsidP="003816E4"/>
        </w:tc>
      </w:tr>
      <w:tr w:rsidR="00BA41C8" w14:paraId="1B33A283" w14:textId="77777777" w:rsidTr="004950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bottom w:val="single" w:sz="4" w:space="0" w:color="E3000F"/>
            </w:tcBorders>
          </w:tcPr>
          <w:p w14:paraId="54B4126C" w14:textId="569B853C" w:rsidR="00BA41C8" w:rsidRPr="00BA41C8" w:rsidRDefault="00BA41C8" w:rsidP="00BA41C8">
            <w:pPr>
              <w:pStyle w:val="ListParagraph"/>
              <w:numPr>
                <w:ilvl w:val="0"/>
                <w:numId w:val="30"/>
              </w:numPr>
              <w:ind w:left="343"/>
              <w:rPr>
                <w:bCs/>
              </w:rPr>
            </w:pPr>
            <w:r w:rsidRPr="00BA41C8">
              <w:rPr>
                <w:bCs/>
              </w:rPr>
              <w:t>Legal Status (e.g., NGO, government body, private entity)</w:t>
            </w:r>
          </w:p>
        </w:tc>
      </w:tr>
      <w:tr w:rsidR="00BA41C8" w14:paraId="609A0341" w14:textId="77777777" w:rsidTr="00BA41C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left w:val="single" w:sz="4" w:space="0" w:color="E3000F"/>
              <w:bottom w:val="single" w:sz="4" w:space="0" w:color="E3000F"/>
              <w:right w:val="single" w:sz="4" w:space="0" w:color="E3000F"/>
            </w:tcBorders>
          </w:tcPr>
          <w:p w14:paraId="676D210E" w14:textId="77777777" w:rsidR="00BA41C8" w:rsidRDefault="00BA41C8" w:rsidP="003816E4"/>
        </w:tc>
      </w:tr>
      <w:tr w:rsidR="00BA41C8" w14:paraId="662D7EA4" w14:textId="77777777" w:rsidTr="00E539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bottom w:val="single" w:sz="4" w:space="0" w:color="E3000F"/>
            </w:tcBorders>
          </w:tcPr>
          <w:p w14:paraId="6A8E0A49" w14:textId="72AA7272" w:rsidR="00BA41C8" w:rsidRPr="00BA41C8" w:rsidRDefault="006B5E60" w:rsidP="00BA41C8">
            <w:pPr>
              <w:pStyle w:val="ListParagraph"/>
              <w:numPr>
                <w:ilvl w:val="0"/>
                <w:numId w:val="30"/>
              </w:numPr>
              <w:ind w:left="343"/>
            </w:pPr>
            <w:r>
              <w:rPr>
                <w:bCs/>
              </w:rPr>
              <w:t>Existing</w:t>
            </w:r>
            <w:r w:rsidR="00BA41C8" w:rsidRPr="00BA41C8">
              <w:rPr>
                <w:bCs/>
              </w:rPr>
              <w:t xml:space="preserve"> </w:t>
            </w:r>
            <w:r>
              <w:rPr>
                <w:bCs/>
              </w:rPr>
              <w:t>technical cooperation</w:t>
            </w:r>
            <w:r w:rsidR="00BA41C8" w:rsidRPr="00BA41C8">
              <w:rPr>
                <w:bCs/>
              </w:rPr>
              <w:t xml:space="preserve"> with ISO (if any</w:t>
            </w:r>
            <w:r>
              <w:rPr>
                <w:bCs/>
              </w:rPr>
              <w:t>, such as liaison status, agreements, etc.</w:t>
            </w:r>
            <w:r w:rsidR="00BA41C8" w:rsidRPr="00BA41C8">
              <w:rPr>
                <w:bCs/>
              </w:rPr>
              <w:t>):</w:t>
            </w:r>
          </w:p>
        </w:tc>
      </w:tr>
      <w:tr w:rsidR="00BA41C8" w14:paraId="09A923A6" w14:textId="77777777" w:rsidTr="00BA41C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Borders>
              <w:top w:val="single" w:sz="4" w:space="0" w:color="E3000F"/>
              <w:left w:val="single" w:sz="4" w:space="0" w:color="E3000F"/>
              <w:bottom w:val="single" w:sz="4" w:space="0" w:color="E3000F"/>
              <w:right w:val="single" w:sz="4" w:space="0" w:color="E3000F"/>
            </w:tcBorders>
          </w:tcPr>
          <w:p w14:paraId="0DFBA301" w14:textId="7E6A48FE" w:rsidR="00BA41C8" w:rsidRDefault="006B5E60" w:rsidP="003816E4">
            <w:r w:rsidRPr="00414DE1">
              <w:rPr>
                <w:highlight w:val="yellow"/>
              </w:rPr>
              <w:t>Pre-fill by ISO/CS and ask is there anything missing</w:t>
            </w:r>
            <w:r>
              <w:t xml:space="preserve"> </w:t>
            </w:r>
          </w:p>
        </w:tc>
      </w:tr>
    </w:tbl>
    <w:p w14:paraId="714A5AB4" w14:textId="77777777" w:rsidR="00BA41C8" w:rsidRDefault="00BA41C8">
      <w:pPr>
        <w:spacing w:after="160" w:line="259" w:lineRule="auto"/>
      </w:pPr>
      <w:r>
        <w:br w:type="page"/>
      </w:r>
    </w:p>
    <w:p w14:paraId="3E3E3D7E" w14:textId="691266B5" w:rsidR="006110D2" w:rsidRDefault="003816E4" w:rsidP="003816E4">
      <w:pPr>
        <w:pStyle w:val="Heading2"/>
        <w:numPr>
          <w:ilvl w:val="0"/>
          <w:numId w:val="32"/>
        </w:numPr>
      </w:pPr>
      <w:r>
        <w:lastRenderedPageBreak/>
        <w:t>Proposed Area of Cooperation (PSDO)</w:t>
      </w:r>
    </w:p>
    <w:p w14:paraId="74C9ED27" w14:textId="6E00FE3B" w:rsidR="00B438F4" w:rsidRPr="00B438F4" w:rsidRDefault="003816E4" w:rsidP="003816E4">
      <w:pPr>
        <w:jc w:val="both"/>
      </w:pPr>
      <w:r>
        <w:t xml:space="preserve">There are different opportunities for partner engagement in ISO technical work, ranging from guest expert to partnering standards development (PSDO). Different engagement level has different commitment required, benefit and </w:t>
      </w:r>
      <w:proofErr w:type="gramStart"/>
      <w:r>
        <w:t>impact ,as</w:t>
      </w:r>
      <w:proofErr w:type="gramEnd"/>
      <w:r>
        <w:t xml:space="preserve"> well as governance approval process. Figuring out the right way to cooperation on technical content is key, before we can establish a mutual beneficial partnership. Please refer to different engagement opportunities in ISO technical work in </w:t>
      </w:r>
      <w:r w:rsidRPr="003816E4">
        <w:rPr>
          <w:color w:val="FF0000"/>
        </w:rPr>
        <w:t>Annex 1</w:t>
      </w:r>
      <w:r>
        <w:t xml:space="preserve">. Should you decide that PSDO is the most ideal way to cooperate, please proceed to the follow section. </w:t>
      </w:r>
    </w:p>
    <w:p w14:paraId="019BDDF8" w14:textId="28FC2B74" w:rsidR="00CA5F21" w:rsidRPr="003816E4" w:rsidRDefault="003816E4" w:rsidP="003816E4">
      <w:pPr>
        <w:pStyle w:val="ListParagraph"/>
        <w:numPr>
          <w:ilvl w:val="1"/>
          <w:numId w:val="32"/>
        </w:numPr>
        <w:ind w:left="450" w:hanging="450"/>
        <w:jc w:val="both"/>
        <w:rPr>
          <w:b/>
          <w:bCs/>
        </w:rPr>
      </w:pPr>
      <w:r w:rsidRPr="003816E4">
        <w:rPr>
          <w:b/>
          <w:bCs/>
        </w:rPr>
        <w:t xml:space="preserve">Please provide information on the </w:t>
      </w:r>
      <w:r w:rsidRPr="003816E4">
        <w:rPr>
          <w:b/>
          <w:bCs/>
          <w:color w:val="FF0000"/>
        </w:rPr>
        <w:t>proposed area of cooperation</w:t>
      </w:r>
      <w:r w:rsidRPr="003816E4">
        <w:rPr>
          <w:b/>
          <w:bCs/>
        </w:rPr>
        <w:t xml:space="preserve">, including the involved ISO Technical Committee(s), technical content (including your standards, ISO standards, or any work in the pipeline):  </w:t>
      </w:r>
    </w:p>
    <w:tbl>
      <w:tblPr>
        <w:tblStyle w:val="TableGrid"/>
        <w:tblW w:w="0" w:type="auto"/>
        <w:tblLook w:val="04A0" w:firstRow="1" w:lastRow="0" w:firstColumn="1" w:lastColumn="0" w:noHBand="0" w:noVBand="1"/>
      </w:tblPr>
      <w:tblGrid>
        <w:gridCol w:w="9628"/>
      </w:tblGrid>
      <w:tr w:rsidR="003816E4" w14:paraId="22F5D7F8" w14:textId="77777777" w:rsidTr="00BA41C8">
        <w:tc>
          <w:tcPr>
            <w:tcW w:w="9628" w:type="dxa"/>
            <w:tcBorders>
              <w:top w:val="single" w:sz="4" w:space="0" w:color="E3000F"/>
              <w:left w:val="single" w:sz="4" w:space="0" w:color="E3000F"/>
              <w:bottom w:val="single" w:sz="4" w:space="0" w:color="E3000F"/>
              <w:right w:val="single" w:sz="4" w:space="0" w:color="E3000F"/>
            </w:tcBorders>
          </w:tcPr>
          <w:p w14:paraId="216C0435" w14:textId="77777777" w:rsidR="003816E4" w:rsidRDefault="003816E4" w:rsidP="00CA5F21"/>
          <w:p w14:paraId="519300D2" w14:textId="77777777" w:rsidR="003816E4" w:rsidRDefault="003816E4" w:rsidP="00CA5F21"/>
          <w:p w14:paraId="4FDF993F" w14:textId="77777777" w:rsidR="003816E4" w:rsidRDefault="003816E4" w:rsidP="00CA5F21"/>
          <w:p w14:paraId="11C229C5" w14:textId="77777777" w:rsidR="003816E4" w:rsidRDefault="003816E4" w:rsidP="00CA5F21"/>
          <w:p w14:paraId="0669DB08" w14:textId="77777777" w:rsidR="003816E4" w:rsidRDefault="003816E4" w:rsidP="00CA5F21"/>
          <w:p w14:paraId="28FA3CA9" w14:textId="77777777" w:rsidR="003816E4" w:rsidRDefault="003816E4" w:rsidP="00CA5F21"/>
        </w:tc>
      </w:tr>
    </w:tbl>
    <w:p w14:paraId="51C3CC32" w14:textId="77777777" w:rsidR="003816E4" w:rsidRPr="003816E4" w:rsidRDefault="003816E4" w:rsidP="00CA5F21"/>
    <w:p w14:paraId="7622D00C" w14:textId="78AE6E3A" w:rsidR="003816E4" w:rsidRPr="003816E4" w:rsidRDefault="003816E4" w:rsidP="003816E4">
      <w:pPr>
        <w:pStyle w:val="ListParagraph"/>
        <w:numPr>
          <w:ilvl w:val="1"/>
          <w:numId w:val="32"/>
        </w:numPr>
        <w:ind w:left="450" w:hanging="450"/>
        <w:jc w:val="both"/>
        <w:rPr>
          <w:b/>
          <w:bCs/>
        </w:rPr>
      </w:pPr>
      <w:r w:rsidRPr="003816E4">
        <w:rPr>
          <w:b/>
          <w:bCs/>
        </w:rPr>
        <w:t xml:space="preserve">Please provide information on proposed </w:t>
      </w:r>
      <w:r w:rsidRPr="003816E4">
        <w:rPr>
          <w:b/>
          <w:bCs/>
          <w:color w:val="FF0000"/>
        </w:rPr>
        <w:t>synergies and mutual benefits</w:t>
      </w:r>
      <w:r w:rsidRPr="003816E4">
        <w:rPr>
          <w:b/>
          <w:bCs/>
        </w:rPr>
        <w:t>, including</w:t>
      </w:r>
      <w:r w:rsidR="006B5E60">
        <w:rPr>
          <w:b/>
          <w:bCs/>
        </w:rPr>
        <w:t xml:space="preserve"> how your deliverables are global relevant and internationally applicable, and</w:t>
      </w:r>
      <w:r w:rsidRPr="003816E4">
        <w:rPr>
          <w:b/>
          <w:bCs/>
        </w:rPr>
        <w:t xml:space="preserve"> the potential impact brought forward by the cooperation. </w:t>
      </w:r>
    </w:p>
    <w:tbl>
      <w:tblPr>
        <w:tblStyle w:val="TableGrid"/>
        <w:tblW w:w="0" w:type="auto"/>
        <w:tblLook w:val="04A0" w:firstRow="1" w:lastRow="0" w:firstColumn="1" w:lastColumn="0" w:noHBand="0" w:noVBand="1"/>
      </w:tblPr>
      <w:tblGrid>
        <w:gridCol w:w="9628"/>
      </w:tblGrid>
      <w:tr w:rsidR="00BA41C8" w14:paraId="0960CDA1" w14:textId="77777777" w:rsidTr="00F23A1D">
        <w:tc>
          <w:tcPr>
            <w:tcW w:w="9628" w:type="dxa"/>
            <w:tcBorders>
              <w:top w:val="single" w:sz="4" w:space="0" w:color="E3000F"/>
              <w:left w:val="single" w:sz="4" w:space="0" w:color="E3000F"/>
              <w:bottom w:val="single" w:sz="4" w:space="0" w:color="E3000F"/>
              <w:right w:val="single" w:sz="4" w:space="0" w:color="E3000F"/>
            </w:tcBorders>
          </w:tcPr>
          <w:p w14:paraId="0EADB9B9" w14:textId="77777777" w:rsidR="00BA41C8" w:rsidRDefault="00BA41C8" w:rsidP="00F23A1D"/>
          <w:p w14:paraId="39BAA79A" w14:textId="77777777" w:rsidR="00BA41C8" w:rsidRDefault="00BA41C8" w:rsidP="00F23A1D"/>
          <w:p w14:paraId="48BC9E07" w14:textId="77777777" w:rsidR="00BA41C8" w:rsidRDefault="00BA41C8" w:rsidP="00F23A1D"/>
          <w:p w14:paraId="07075FA4" w14:textId="77777777" w:rsidR="00BA41C8" w:rsidRDefault="00BA41C8" w:rsidP="00F23A1D"/>
          <w:p w14:paraId="40ECDC09" w14:textId="77777777" w:rsidR="00BA41C8" w:rsidRDefault="00BA41C8" w:rsidP="00F23A1D"/>
          <w:p w14:paraId="59C22DB8" w14:textId="77777777" w:rsidR="00BA41C8" w:rsidRDefault="00BA41C8" w:rsidP="00F23A1D"/>
        </w:tc>
      </w:tr>
    </w:tbl>
    <w:p w14:paraId="1A1C11C9" w14:textId="77777777" w:rsidR="004B04B5" w:rsidRDefault="004B04B5" w:rsidP="00820B9B"/>
    <w:p w14:paraId="41E31167" w14:textId="14D3A951" w:rsidR="00EF0EDC" w:rsidRPr="003816E4" w:rsidRDefault="003816E4" w:rsidP="003816E4">
      <w:pPr>
        <w:pStyle w:val="ListParagraph"/>
        <w:numPr>
          <w:ilvl w:val="1"/>
          <w:numId w:val="32"/>
        </w:numPr>
        <w:ind w:left="450" w:hanging="450"/>
        <w:jc w:val="both"/>
        <w:rPr>
          <w:b/>
          <w:bCs/>
        </w:rPr>
      </w:pPr>
      <w:r w:rsidRPr="003816E4">
        <w:rPr>
          <w:b/>
          <w:bCs/>
        </w:rPr>
        <w:t xml:space="preserve">Please select the most ideal PSDO mechanism for the proposed cooperation. </w:t>
      </w:r>
    </w:p>
    <w:p w14:paraId="2FC18C15" w14:textId="69EDD46B" w:rsidR="003816E4" w:rsidRDefault="00BA41C8" w:rsidP="003816E4">
      <w:pPr>
        <w:jc w:val="both"/>
      </w:pPr>
      <w:r>
        <w:fldChar w:fldCharType="begin">
          <w:ffData>
            <w:name w:val="Check1"/>
            <w:enabled/>
            <w:calcOnExit w:val="0"/>
            <w:checkBox>
              <w:sizeAuto/>
              <w:default w:val="0"/>
            </w:checkBox>
          </w:ffData>
        </w:fldChar>
      </w:r>
      <w:bookmarkStart w:id="0" w:name="Check1"/>
      <w:r>
        <w:instrText xml:space="preserve"> FORMCHECKBOX </w:instrText>
      </w:r>
      <w:r>
        <w:fldChar w:fldCharType="separate"/>
      </w:r>
      <w:r>
        <w:fldChar w:fldCharType="end"/>
      </w:r>
      <w:bookmarkEnd w:id="0"/>
      <w:r w:rsidR="001A1F6A">
        <w:t xml:space="preserve"> </w:t>
      </w:r>
      <w:r w:rsidRPr="001A1F6A">
        <w:rPr>
          <w:color w:val="000000" w:themeColor="text1"/>
        </w:rPr>
        <w:t>Joint development of ISO/</w:t>
      </w:r>
      <w:r w:rsidRPr="001A1F6A">
        <w:rPr>
          <w:i/>
          <w:iCs/>
          <w:color w:val="000000" w:themeColor="text1"/>
        </w:rPr>
        <w:t xml:space="preserve">XYZ </w:t>
      </w:r>
      <w:r w:rsidRPr="001A1F6A">
        <w:rPr>
          <w:color w:val="000000" w:themeColor="text1"/>
        </w:rPr>
        <w:t xml:space="preserve">Standards </w:t>
      </w:r>
    </w:p>
    <w:p w14:paraId="0892D105" w14:textId="639175F7" w:rsidR="00BA41C8" w:rsidRDefault="00BA41C8" w:rsidP="003816E4">
      <w:pPr>
        <w:jc w:val="both"/>
      </w:pPr>
      <w:r>
        <w:t>The partner (</w:t>
      </w:r>
      <w:r w:rsidRPr="00BA41C8">
        <w:rPr>
          <w:i/>
          <w:iCs/>
        </w:rPr>
        <w:t>XYZ</w:t>
      </w:r>
      <w:r w:rsidRPr="00BA41C8">
        <w:t>)</w:t>
      </w:r>
      <w:r>
        <w:t xml:space="preserve"> and ISO have proposed to jointly develop the standards in the committee(s). If approval of the proposal for joint development from both sides, the relevant Partner’s working group (or equivalent) and ISO Committee Working Group will establish a joint group of experts to conduct the development of joint standards. </w:t>
      </w:r>
    </w:p>
    <w:p w14:paraId="53065A4B" w14:textId="77777777" w:rsidR="002400A6" w:rsidRPr="001A1F6A" w:rsidRDefault="002400A6" w:rsidP="002400A6">
      <w:pPr>
        <w:jc w:val="both"/>
        <w:rPr>
          <w:color w:val="000000" w:themeColor="text1"/>
        </w:rPr>
      </w:pPr>
      <w:r>
        <w:fldChar w:fldCharType="begin">
          <w:ffData>
            <w:name w:val="Check2"/>
            <w:enabled/>
            <w:calcOnExit w:val="0"/>
            <w:checkBox>
              <w:sizeAuto/>
              <w:default w:val="0"/>
            </w:checkBox>
          </w:ffData>
        </w:fldChar>
      </w:r>
      <w:bookmarkStart w:id="1" w:name="Check2"/>
      <w:r>
        <w:instrText xml:space="preserve"> FORMCHECKBOX </w:instrText>
      </w:r>
      <w:r>
        <w:fldChar w:fldCharType="separate"/>
      </w:r>
      <w:r>
        <w:fldChar w:fldCharType="end"/>
      </w:r>
      <w:bookmarkEnd w:id="1"/>
      <w:r>
        <w:t xml:space="preserve"> </w:t>
      </w:r>
      <w:r w:rsidRPr="001A1F6A">
        <w:rPr>
          <w:color w:val="000000" w:themeColor="text1"/>
        </w:rPr>
        <w:t xml:space="preserve">FDIS fast-track processing of an approved </w:t>
      </w:r>
      <w:r w:rsidRPr="001A1F6A">
        <w:rPr>
          <w:i/>
          <w:iCs/>
          <w:color w:val="000000" w:themeColor="text1"/>
        </w:rPr>
        <w:t>XYZ</w:t>
      </w:r>
      <w:r w:rsidRPr="001A1F6A">
        <w:rPr>
          <w:color w:val="000000" w:themeColor="text1"/>
        </w:rPr>
        <w:t xml:space="preserve"> standard</w:t>
      </w:r>
    </w:p>
    <w:p w14:paraId="5AAE59B9" w14:textId="77777777" w:rsidR="00F85377" w:rsidRDefault="00F85377" w:rsidP="00F85377">
      <w:pPr>
        <w:jc w:val="both"/>
      </w:pPr>
      <w:r>
        <w:t>An approved standard from the partner (</w:t>
      </w:r>
      <w:r w:rsidRPr="00BA41C8">
        <w:rPr>
          <w:i/>
          <w:iCs/>
        </w:rPr>
        <w:t>XYZ</w:t>
      </w:r>
      <w:r>
        <w:t xml:space="preserve">) within the scope of the ISO and such standard having global use and acceptance, may be proposed for adoption as an ISO International Standards, and will proceed to Final Draft International Standard (FDIS) fast-track processing. The partner </w:t>
      </w:r>
      <w:r w:rsidRPr="00BA41C8">
        <w:t>shall ensure that proposals for adoption can be published by ISO (if approved) in accordance with the Guidelines to the IEC, ISO, ITU Common Patent Policy prior to submitting them to ISO.</w:t>
      </w:r>
      <w:r>
        <w:t xml:space="preserve"> Such requests shall be submitted to the Secretary-General of ISO for acceptance. The Secretary-General shall then submit a proposal to the relevant ISO committee for an 8-week ballot. </w:t>
      </w:r>
    </w:p>
    <w:p w14:paraId="4691CE72" w14:textId="1FC7500D" w:rsidR="006251DA" w:rsidRDefault="006251DA" w:rsidP="006251DA">
      <w:pPr>
        <w:pStyle w:val="Heading2"/>
        <w:numPr>
          <w:ilvl w:val="0"/>
          <w:numId w:val="32"/>
        </w:numPr>
      </w:pPr>
      <w:r>
        <w:lastRenderedPageBreak/>
        <w:t>Copyright and Commercial Considerations (PSDO)</w:t>
      </w:r>
    </w:p>
    <w:p w14:paraId="62A9B79D" w14:textId="77777777" w:rsidR="006251DA" w:rsidRPr="00430772" w:rsidRDefault="006251DA" w:rsidP="006251DA">
      <w:pPr>
        <w:jc w:val="both"/>
      </w:pPr>
      <w:r w:rsidRPr="00430772">
        <w:t xml:space="preserve">ISO Standards are not freely available, and has its own copyright policy, designed to maintain the quality, integrity, and sustainability of the international standardization process. By entering the PSDO agreement, you need to consider the </w:t>
      </w:r>
      <w:r w:rsidRPr="00430772">
        <w:rPr>
          <w:color w:val="E3000F" w:themeColor="accent1"/>
        </w:rPr>
        <w:t>copyright and commercial arrangement</w:t>
      </w:r>
      <w:r w:rsidRPr="00430772">
        <w:t xml:space="preserve">. </w:t>
      </w:r>
    </w:p>
    <w:p w14:paraId="23F5F7D3" w14:textId="77777777" w:rsidR="006251DA" w:rsidRDefault="006251DA" w:rsidP="006251DA">
      <w:pPr>
        <w:jc w:val="both"/>
      </w:pPr>
      <w:r w:rsidRPr="00430772">
        <w:t>Standards that are jointly developed should be jointly owned between ISO and the partner organization, including any future version</w:t>
      </w:r>
      <w:r>
        <w:t>s</w:t>
      </w:r>
      <w:r w:rsidRPr="00430772">
        <w:t xml:space="preserve"> of such standards. </w:t>
      </w:r>
      <w:r>
        <w:t xml:space="preserve">The copyright of the joint standards that are developed via fast-track adoption can be owned by the partner organization. </w:t>
      </w:r>
    </w:p>
    <w:p w14:paraId="2E3121CF" w14:textId="77777777" w:rsidR="006251DA" w:rsidRDefault="006251DA" w:rsidP="006251DA">
      <w:pPr>
        <w:jc w:val="both"/>
      </w:pPr>
      <w:r>
        <w:t>In both cases, ISO (together with its members) and the partner organization may sell the joint standards according to their own rules and policies, without royalties to each other. Joint standards shall not be available for free, except for standards development purposes, national enquiry or any similar consultation process.</w:t>
      </w:r>
    </w:p>
    <w:p w14:paraId="2DEAD8F8" w14:textId="77777777" w:rsidR="006251DA" w:rsidRPr="00430772" w:rsidRDefault="006251DA" w:rsidP="006251DA">
      <w:pPr>
        <w:jc w:val="both"/>
      </w:pPr>
      <w:r>
        <w:t xml:space="preserve">ISO and its members, and the partner organization, each have full exploitation and enforcement rights. This includes the rights to create derivative products such as collections, packages, handbooks or any similar products, and the right to translate such standards and published national adoptions. </w:t>
      </w:r>
    </w:p>
    <w:p w14:paraId="2592629C" w14:textId="77777777" w:rsidR="006251DA" w:rsidRDefault="006251DA" w:rsidP="006251DA">
      <w:pPr>
        <w:jc w:val="both"/>
        <w:rPr>
          <w:b/>
          <w:bCs/>
        </w:rPr>
      </w:pPr>
      <w:r>
        <w:rPr>
          <w:b/>
          <w:bCs/>
        </w:rPr>
        <w:t>Please provide your comment should you see any concerns for the proposed commercial arrangements.</w:t>
      </w:r>
    </w:p>
    <w:tbl>
      <w:tblPr>
        <w:tblStyle w:val="TableGrid"/>
        <w:tblW w:w="0" w:type="auto"/>
        <w:tblLook w:val="04A0" w:firstRow="1" w:lastRow="0" w:firstColumn="1" w:lastColumn="0" w:noHBand="0" w:noVBand="1"/>
      </w:tblPr>
      <w:tblGrid>
        <w:gridCol w:w="9628"/>
      </w:tblGrid>
      <w:tr w:rsidR="006251DA" w14:paraId="511418BE" w14:textId="77777777" w:rsidTr="00811EB2">
        <w:tc>
          <w:tcPr>
            <w:tcW w:w="9628" w:type="dxa"/>
            <w:tcBorders>
              <w:top w:val="single" w:sz="4" w:space="0" w:color="E3000F"/>
              <w:left w:val="single" w:sz="4" w:space="0" w:color="E3000F"/>
              <w:bottom w:val="single" w:sz="4" w:space="0" w:color="E3000F"/>
              <w:right w:val="single" w:sz="4" w:space="0" w:color="E3000F"/>
            </w:tcBorders>
          </w:tcPr>
          <w:p w14:paraId="7BDDBD34" w14:textId="77777777" w:rsidR="006251DA" w:rsidRDefault="006251DA" w:rsidP="00811EB2"/>
          <w:p w14:paraId="04B07F7C" w14:textId="77777777" w:rsidR="006251DA" w:rsidRDefault="006251DA" w:rsidP="00811EB2"/>
          <w:p w14:paraId="02177AD0" w14:textId="77777777" w:rsidR="006251DA" w:rsidRDefault="006251DA" w:rsidP="00811EB2"/>
          <w:p w14:paraId="59CF2AF8" w14:textId="77777777" w:rsidR="006251DA" w:rsidRDefault="006251DA" w:rsidP="00811EB2"/>
          <w:p w14:paraId="7BB048C7" w14:textId="77777777" w:rsidR="006251DA" w:rsidRDefault="006251DA" w:rsidP="00811EB2"/>
          <w:p w14:paraId="34E50596" w14:textId="77777777" w:rsidR="006251DA" w:rsidRDefault="006251DA" w:rsidP="00811EB2"/>
        </w:tc>
      </w:tr>
    </w:tbl>
    <w:p w14:paraId="52E85D9B" w14:textId="77777777" w:rsidR="00BA41C8" w:rsidRDefault="00BA41C8" w:rsidP="00BA41C8">
      <w:pPr>
        <w:jc w:val="both"/>
      </w:pPr>
    </w:p>
    <w:p w14:paraId="417A3F90" w14:textId="77777777" w:rsidR="00BA41C8" w:rsidRDefault="00BA41C8" w:rsidP="00BA41C8">
      <w:pPr>
        <w:jc w:val="both"/>
      </w:pPr>
    </w:p>
    <w:p w14:paraId="04A2BD60" w14:textId="77777777" w:rsidR="00BA41C8" w:rsidRDefault="00BA41C8" w:rsidP="00BA41C8">
      <w:pPr>
        <w:jc w:val="right"/>
      </w:pPr>
    </w:p>
    <w:p w14:paraId="5D53D802" w14:textId="47FB5F3E" w:rsidR="00BA41C8" w:rsidRPr="006251DA" w:rsidRDefault="00BA41C8" w:rsidP="006251DA">
      <w:pPr>
        <w:jc w:val="both"/>
        <w:rPr>
          <w:b/>
          <w:bCs/>
        </w:rPr>
      </w:pPr>
      <w:r w:rsidRPr="006251DA">
        <w:rPr>
          <w:b/>
          <w:bCs/>
        </w:rPr>
        <w:t xml:space="preserve">Please provide any further information you see needed for the cooperation. </w:t>
      </w:r>
    </w:p>
    <w:tbl>
      <w:tblPr>
        <w:tblStyle w:val="TableGrid"/>
        <w:tblW w:w="0" w:type="auto"/>
        <w:tblLook w:val="04A0" w:firstRow="1" w:lastRow="0" w:firstColumn="1" w:lastColumn="0" w:noHBand="0" w:noVBand="1"/>
      </w:tblPr>
      <w:tblGrid>
        <w:gridCol w:w="9628"/>
      </w:tblGrid>
      <w:tr w:rsidR="00BA41C8" w14:paraId="5A119F1F" w14:textId="77777777" w:rsidTr="00F23A1D">
        <w:tc>
          <w:tcPr>
            <w:tcW w:w="9628" w:type="dxa"/>
            <w:tcBorders>
              <w:top w:val="single" w:sz="4" w:space="0" w:color="E3000F"/>
              <w:left w:val="single" w:sz="4" w:space="0" w:color="E3000F"/>
              <w:bottom w:val="single" w:sz="4" w:space="0" w:color="E3000F"/>
              <w:right w:val="single" w:sz="4" w:space="0" w:color="E3000F"/>
            </w:tcBorders>
          </w:tcPr>
          <w:p w14:paraId="03909D44" w14:textId="77777777" w:rsidR="00BA41C8" w:rsidRDefault="00BA41C8" w:rsidP="00F23A1D"/>
          <w:p w14:paraId="5DEDED8D" w14:textId="77777777" w:rsidR="00BA41C8" w:rsidRDefault="00BA41C8" w:rsidP="00F23A1D"/>
          <w:p w14:paraId="0BBF2EBD" w14:textId="77777777" w:rsidR="00BA41C8" w:rsidRDefault="00BA41C8" w:rsidP="00F23A1D"/>
          <w:p w14:paraId="4070CD72" w14:textId="77777777" w:rsidR="00BA41C8" w:rsidRDefault="00BA41C8" w:rsidP="00F23A1D"/>
          <w:p w14:paraId="42865E83" w14:textId="77777777" w:rsidR="00BA41C8" w:rsidRDefault="00BA41C8" w:rsidP="00F23A1D"/>
          <w:p w14:paraId="37E4A819" w14:textId="77777777" w:rsidR="00BA41C8" w:rsidRDefault="00BA41C8" w:rsidP="00F23A1D"/>
        </w:tc>
      </w:tr>
    </w:tbl>
    <w:p w14:paraId="57DD846B" w14:textId="77777777" w:rsidR="00BA41C8" w:rsidRDefault="00BA41C8" w:rsidP="00BA41C8">
      <w:pPr>
        <w:jc w:val="both"/>
        <w:rPr>
          <w:b/>
          <w:bCs/>
        </w:rPr>
      </w:pPr>
    </w:p>
    <w:p w14:paraId="444E5BBD" w14:textId="66F9F7E1" w:rsidR="00EE0E98" w:rsidRDefault="00EE0E98">
      <w:pPr>
        <w:spacing w:after="160" w:line="259" w:lineRule="auto"/>
        <w:rPr>
          <w:b/>
          <w:bCs/>
        </w:rPr>
      </w:pPr>
      <w:r>
        <w:rPr>
          <w:b/>
          <w:bCs/>
        </w:rPr>
        <w:br w:type="page"/>
      </w:r>
    </w:p>
    <w:p w14:paraId="29C44EBB" w14:textId="731AFC40" w:rsidR="00EE0E98" w:rsidRDefault="00EE0E98" w:rsidP="00EE0E98">
      <w:pPr>
        <w:pStyle w:val="Heading2"/>
      </w:pPr>
      <w:r>
        <w:lastRenderedPageBreak/>
        <w:t>Annex 1 - Ways to Engage in ISO Technical Work</w:t>
      </w:r>
    </w:p>
    <w:p w14:paraId="6B0D2237" w14:textId="77777777" w:rsidR="00EE0E98" w:rsidRPr="00B2482D" w:rsidRDefault="00EE0E98" w:rsidP="00EE0E98">
      <w:pPr>
        <w:pStyle w:val="Heading4"/>
      </w:pPr>
      <w:r>
        <w:t>Guest expert</w:t>
      </w:r>
    </w:p>
    <w:p w14:paraId="71E6805A" w14:textId="77777777" w:rsidR="00EE0E98" w:rsidRDefault="00EE0E98" w:rsidP="00EE0E98">
      <w:pPr>
        <w:jc w:val="both"/>
      </w:pPr>
      <w:r>
        <w:t xml:space="preserve">Contribute expertise on an ad-hoc basis to specific meetings and/or ISO TC, SC, or WG documents. No formal agreement between ISO and the partnering organization is needed. Guest experts typically join one or two meetings before formally joining the group through one of the channels mentioned below. </w:t>
      </w:r>
    </w:p>
    <w:p w14:paraId="32D6FDF3" w14:textId="77777777" w:rsidR="00EE0E98" w:rsidRPr="00B2482D" w:rsidRDefault="00EE0E98" w:rsidP="00EE0E98">
      <w:r w:rsidRPr="003313F8">
        <w:rPr>
          <w:i/>
        </w:rPr>
        <w:t xml:space="preserve">Note: Inputs provided to the TC, SC, WG are on behalf of </w:t>
      </w:r>
      <w:r>
        <w:rPr>
          <w:i/>
        </w:rPr>
        <w:t xml:space="preserve">the </w:t>
      </w:r>
      <w:r w:rsidRPr="0025024B">
        <w:rPr>
          <w:i/>
        </w:rPr>
        <w:t>partnering organization</w:t>
      </w:r>
      <w:r w:rsidRPr="003313F8">
        <w:rPr>
          <w:i/>
        </w:rPr>
        <w:t>.</w:t>
      </w:r>
    </w:p>
    <w:p w14:paraId="7CD9137D" w14:textId="77777777" w:rsidR="00EE0E98" w:rsidRDefault="00EE0E98" w:rsidP="00EE0E98">
      <w:pPr>
        <w:pStyle w:val="ListParagraph"/>
        <w:numPr>
          <w:ilvl w:val="0"/>
          <w:numId w:val="33"/>
        </w:numPr>
        <w:jc w:val="both"/>
      </w:pPr>
      <w:r w:rsidRPr="00B71F31">
        <w:rPr>
          <w:b/>
        </w:rPr>
        <w:t>Commitment level</w:t>
      </w:r>
      <w:r w:rsidRPr="004122EF">
        <w:t>:</w:t>
      </w:r>
      <w:r w:rsidRPr="003659F0">
        <w:rPr>
          <w:lang w:val="en-US"/>
        </w:rPr>
        <w:t xml:space="preserve"> Low:</w:t>
      </w:r>
      <w:r w:rsidRPr="004122EF">
        <w:t xml:space="preserve"> </w:t>
      </w:r>
      <w:r w:rsidRPr="00205212">
        <w:t>Participation is on an as needed basis.</w:t>
      </w:r>
    </w:p>
    <w:p w14:paraId="2ECD95CD" w14:textId="77777777" w:rsidR="00EE0E98" w:rsidRPr="00205212" w:rsidRDefault="00EE0E98" w:rsidP="00EE0E98">
      <w:pPr>
        <w:pStyle w:val="ListParagraph"/>
        <w:numPr>
          <w:ilvl w:val="0"/>
          <w:numId w:val="33"/>
        </w:numPr>
        <w:jc w:val="both"/>
      </w:pPr>
      <w:r w:rsidRPr="00B71F31">
        <w:rPr>
          <w:b/>
        </w:rPr>
        <w:t>Key benefits</w:t>
      </w:r>
      <w:r w:rsidRPr="00205212">
        <w:t>: Influence specific standards/deliverables or discussions with expert insights</w:t>
      </w:r>
      <w:r>
        <w:t xml:space="preserve">, but with very </w:t>
      </w:r>
      <w:r w:rsidRPr="00205212">
        <w:t>flexible involvement.</w:t>
      </w:r>
    </w:p>
    <w:p w14:paraId="1FF8A8D3" w14:textId="77777777" w:rsidR="00EE0E98" w:rsidRDefault="00EE0E98" w:rsidP="00EE0E98">
      <w:pPr>
        <w:pStyle w:val="ListParagraph"/>
        <w:numPr>
          <w:ilvl w:val="0"/>
          <w:numId w:val="33"/>
        </w:numPr>
        <w:jc w:val="both"/>
      </w:pPr>
      <w:r w:rsidRPr="00B71F31">
        <w:rPr>
          <w:b/>
        </w:rPr>
        <w:t>Impact</w:t>
      </w:r>
      <w:r w:rsidRPr="00205212">
        <w:t xml:space="preserve">: </w:t>
      </w:r>
      <w:r>
        <w:t>Provides a channel to offer inputs on specific standards/deliverables or specific discussions, suitable for targeted influence without ongoing commitment. However, impact is limited as there is no formal mechanism or concrete obligation for the ISO TC, SC, or WG to consider input.</w:t>
      </w:r>
    </w:p>
    <w:p w14:paraId="217167D8" w14:textId="77777777" w:rsidR="00EE0E98" w:rsidRPr="00205212" w:rsidRDefault="00EE0E98" w:rsidP="00EE0E98">
      <w:pPr>
        <w:pStyle w:val="ListParagraph"/>
        <w:numPr>
          <w:ilvl w:val="0"/>
          <w:numId w:val="33"/>
        </w:numPr>
        <w:jc w:val="both"/>
      </w:pPr>
      <w:r>
        <w:rPr>
          <w:b/>
        </w:rPr>
        <w:t>Process to join:</w:t>
      </w:r>
      <w:r>
        <w:t xml:space="preserve"> Invitation from ISO/CS staff or an ISO NSB who is a P-member in the committee – no additional approvals needed.</w:t>
      </w:r>
    </w:p>
    <w:p w14:paraId="16A97DFF" w14:textId="77777777" w:rsidR="00EE0E98" w:rsidRPr="0036166E" w:rsidRDefault="00EE0E98" w:rsidP="00EE0E98">
      <w:pPr>
        <w:pStyle w:val="ListParagraph"/>
        <w:ind w:left="720" w:firstLine="0"/>
      </w:pPr>
    </w:p>
    <w:p w14:paraId="7F535FC6" w14:textId="77777777" w:rsidR="00EE0E98" w:rsidRPr="004122EF" w:rsidRDefault="00EE0E98" w:rsidP="00EE0E98">
      <w:pPr>
        <w:pStyle w:val="Heading4"/>
      </w:pPr>
      <w:r w:rsidRPr="004122EF">
        <w:t>NSB nominated expert</w:t>
      </w:r>
    </w:p>
    <w:p w14:paraId="3C8E1B5A" w14:textId="77777777" w:rsidR="00EE0E98" w:rsidRDefault="00EE0E98" w:rsidP="00EE0E98">
      <w:r>
        <w:t>Active participation</w:t>
      </w:r>
      <w:r w:rsidRPr="004122EF">
        <w:t xml:space="preserve"> in the ISO TC, SC, or WG via nomination by participating NSB</w:t>
      </w:r>
      <w:r>
        <w:t>(s)</w:t>
      </w:r>
      <w:r w:rsidRPr="004122EF">
        <w:t>.</w:t>
      </w:r>
      <w:r w:rsidRPr="003313F8">
        <w:t xml:space="preserve"> </w:t>
      </w:r>
    </w:p>
    <w:p w14:paraId="32BC1F3E" w14:textId="77777777" w:rsidR="00EE0E98" w:rsidRPr="004122EF" w:rsidRDefault="00EE0E98" w:rsidP="00EE0E98">
      <w:pPr>
        <w:jc w:val="both"/>
      </w:pPr>
      <w:r w:rsidRPr="003313F8">
        <w:rPr>
          <w:i/>
        </w:rPr>
        <w:t>Note:</w:t>
      </w:r>
      <w:r>
        <w:t xml:space="preserve"> </w:t>
      </w:r>
      <w:r w:rsidRPr="003313F8">
        <w:rPr>
          <w:i/>
        </w:rPr>
        <w:t>Inputs provided to TC and SC are on behalf of the NSB. Inputs provided to WG are on behalf of individual’s expertise.</w:t>
      </w:r>
    </w:p>
    <w:p w14:paraId="7607554D" w14:textId="77777777" w:rsidR="00EE0E98" w:rsidRPr="00A76B1A" w:rsidRDefault="00EE0E98" w:rsidP="00EE0E98">
      <w:pPr>
        <w:pStyle w:val="ListParagraph"/>
        <w:numPr>
          <w:ilvl w:val="0"/>
          <w:numId w:val="34"/>
        </w:numPr>
        <w:jc w:val="both"/>
      </w:pPr>
      <w:r w:rsidRPr="00687A2F">
        <w:rPr>
          <w:b/>
        </w:rPr>
        <w:t>Commitment level</w:t>
      </w:r>
      <w:r w:rsidRPr="00A76B1A">
        <w:t>: Medium: Regular contribution to technical discussions and document reviews.</w:t>
      </w:r>
    </w:p>
    <w:p w14:paraId="12606BA1" w14:textId="77777777" w:rsidR="00EE0E98" w:rsidRPr="00A76B1A" w:rsidRDefault="00EE0E98" w:rsidP="00EE0E98">
      <w:pPr>
        <w:pStyle w:val="ListParagraph"/>
        <w:numPr>
          <w:ilvl w:val="0"/>
          <w:numId w:val="34"/>
        </w:numPr>
        <w:jc w:val="both"/>
      </w:pPr>
      <w:r w:rsidRPr="00687A2F">
        <w:rPr>
          <w:b/>
        </w:rPr>
        <w:t>Key benefits:</w:t>
      </w:r>
      <w:r w:rsidRPr="00A76B1A">
        <w:t xml:space="preserve"> Direct involvement in standard development processes; access to all TC, SC, or WG related materials with opportunity to actively contribute and influence the NSB’s vote</w:t>
      </w:r>
    </w:p>
    <w:p w14:paraId="180DAE52" w14:textId="77A0A5B8" w:rsidR="00EE0E98" w:rsidRDefault="00EE0E98" w:rsidP="00EE0E98">
      <w:pPr>
        <w:pStyle w:val="ListParagraph"/>
        <w:numPr>
          <w:ilvl w:val="0"/>
          <w:numId w:val="34"/>
        </w:numPr>
        <w:jc w:val="both"/>
      </w:pPr>
      <w:r w:rsidRPr="00687A2F">
        <w:rPr>
          <w:b/>
        </w:rPr>
        <w:t>Impact</w:t>
      </w:r>
      <w:r w:rsidRPr="00A76B1A">
        <w:t xml:space="preserve">: </w:t>
      </w:r>
      <w:r w:rsidRPr="00847741">
        <w:t xml:space="preserve">Provides a channel to offer inputs on specific standards/deliverables or discussions, with potential to influence/nominate experts through multiple NSBs to strengthen positioning, including voting. Requires sustained commitment and resources and coordination with the NSB. </w:t>
      </w:r>
      <w:r>
        <w:t>Partner’s</w:t>
      </w:r>
      <w:r w:rsidRPr="00847741">
        <w:t xml:space="preserve"> voice may be diluted by inputs from other national stakeholders representing NSB.</w:t>
      </w:r>
    </w:p>
    <w:p w14:paraId="5FE5476B" w14:textId="77777777" w:rsidR="00EE0E98" w:rsidRPr="00205212" w:rsidRDefault="00EE0E98" w:rsidP="00EE0E98">
      <w:pPr>
        <w:pStyle w:val="ListParagraph"/>
        <w:numPr>
          <w:ilvl w:val="0"/>
          <w:numId w:val="34"/>
        </w:numPr>
        <w:jc w:val="both"/>
      </w:pPr>
      <w:r>
        <w:rPr>
          <w:b/>
        </w:rPr>
        <w:t>Process to join:</w:t>
      </w:r>
      <w:r>
        <w:t xml:space="preserve"> Appointed by any ISO NSB who is a P-member in the committee – no additional approvals needed.</w:t>
      </w:r>
    </w:p>
    <w:p w14:paraId="79F1C695" w14:textId="77777777" w:rsidR="00EE0E98" w:rsidRPr="00847741" w:rsidRDefault="00EE0E98" w:rsidP="00EE0E98">
      <w:pPr>
        <w:pStyle w:val="ListParagraph"/>
        <w:ind w:left="720" w:firstLine="0"/>
      </w:pPr>
    </w:p>
    <w:p w14:paraId="4B5C45DA" w14:textId="77777777" w:rsidR="00EE0E98" w:rsidRPr="004122EF" w:rsidRDefault="00EE0E98" w:rsidP="00EE0E98">
      <w:pPr>
        <w:pStyle w:val="Heading4"/>
      </w:pPr>
      <w:r w:rsidRPr="004122EF">
        <w:t>Liaison</w:t>
      </w:r>
    </w:p>
    <w:p w14:paraId="2DF0A279" w14:textId="36F96D5C" w:rsidR="00EE0E98" w:rsidRDefault="00EE0E98" w:rsidP="00EE0E98">
      <w:pPr>
        <w:jc w:val="both"/>
      </w:pPr>
      <w:r>
        <w:t xml:space="preserve">More than 800 organizations in liaison with ISO Technical Committees. Serve as an expert on behalf of the partnering organization in the ISO TC, SC, or WG with varying rights depending on liaison category. See the </w:t>
      </w:r>
      <w:hyperlink r:id="rId12" w:history="1">
        <w:r w:rsidRPr="00ED47D1">
          <w:rPr>
            <w:rStyle w:val="Hyperlink"/>
          </w:rPr>
          <w:t xml:space="preserve">liaison </w:t>
        </w:r>
        <w:r w:rsidR="00ED47D1" w:rsidRPr="00ED47D1">
          <w:rPr>
            <w:rStyle w:val="Hyperlink"/>
          </w:rPr>
          <w:t>guidance</w:t>
        </w:r>
      </w:hyperlink>
      <w:r w:rsidR="00ED47D1">
        <w:t xml:space="preserve"> and </w:t>
      </w:r>
      <w:hyperlink r:id="rId13" w:history="1">
        <w:r w:rsidR="00ED47D1" w:rsidRPr="00ED47D1">
          <w:rPr>
            <w:rStyle w:val="Hyperlink"/>
          </w:rPr>
          <w:t>list of liaison organizations</w:t>
        </w:r>
      </w:hyperlink>
      <w:r>
        <w:t xml:space="preserve"> on ISO website for more details. No formal agreement between ISO and the partner is needed, however the TC/SC must approve to accept the partnering organization as a liaison.</w:t>
      </w:r>
    </w:p>
    <w:p w14:paraId="0395D37A" w14:textId="77777777" w:rsidR="00EE0E98" w:rsidRPr="004C0906" w:rsidRDefault="00EE0E98" w:rsidP="00EE0E98">
      <w:pPr>
        <w:jc w:val="both"/>
      </w:pPr>
      <w:r>
        <w:t xml:space="preserve">Organizations in liaison may exceptionally benefit from additional rights. For example, ISO/TC 283 </w:t>
      </w:r>
      <w:r w:rsidRPr="008D3A91">
        <w:t xml:space="preserve">committee leadership </w:t>
      </w:r>
      <w:r>
        <w:t>have invited</w:t>
      </w:r>
      <w:r w:rsidRPr="008D3A91">
        <w:t xml:space="preserve"> ILO representatives </w:t>
      </w:r>
      <w:r>
        <w:t>to join the advisory group</w:t>
      </w:r>
      <w:r w:rsidRPr="008D3A91">
        <w:t xml:space="preserve"> </w:t>
      </w:r>
      <w:r>
        <w:t>responsible for setting the strategy for</w:t>
      </w:r>
      <w:r w:rsidRPr="008D3A91">
        <w:t xml:space="preserve"> </w:t>
      </w:r>
      <w:r>
        <w:t xml:space="preserve">the revision </w:t>
      </w:r>
      <w:r w:rsidRPr="008D3A91">
        <w:t>of ISO 45001</w:t>
      </w:r>
      <w:r>
        <w:t xml:space="preserve">. </w:t>
      </w:r>
    </w:p>
    <w:p w14:paraId="25DEA8CB" w14:textId="77777777" w:rsidR="00EE0E98" w:rsidRPr="00A76B1A" w:rsidRDefault="00EE0E98" w:rsidP="00EE0E98">
      <w:pPr>
        <w:pStyle w:val="ListParagraph"/>
        <w:numPr>
          <w:ilvl w:val="0"/>
          <w:numId w:val="35"/>
        </w:numPr>
        <w:jc w:val="both"/>
      </w:pPr>
      <w:r w:rsidRPr="006D484F">
        <w:rPr>
          <w:b/>
        </w:rPr>
        <w:t>Commitment level</w:t>
      </w:r>
      <w:r w:rsidRPr="00A76B1A">
        <w:t>: Medium: Regular contribution to technical discussions and document reviews.</w:t>
      </w:r>
    </w:p>
    <w:p w14:paraId="69FE336F" w14:textId="77777777" w:rsidR="00EE0E98" w:rsidRPr="00A76B1A" w:rsidRDefault="00EE0E98" w:rsidP="00EE0E98">
      <w:pPr>
        <w:pStyle w:val="ListParagraph"/>
        <w:numPr>
          <w:ilvl w:val="0"/>
          <w:numId w:val="35"/>
        </w:numPr>
        <w:jc w:val="both"/>
      </w:pPr>
      <w:r w:rsidRPr="006D484F">
        <w:rPr>
          <w:b/>
        </w:rPr>
        <w:t>Key benefits</w:t>
      </w:r>
      <w:r w:rsidRPr="00A76B1A">
        <w:t>: Sustained influence over standard development; access to latest drafts and discussions</w:t>
      </w:r>
      <w:r>
        <w:t>; positioning/commenting on behalf of ILO</w:t>
      </w:r>
      <w:r w:rsidRPr="00A76B1A">
        <w:t>.</w:t>
      </w:r>
    </w:p>
    <w:p w14:paraId="5808124C" w14:textId="77777777" w:rsidR="00EE0E98" w:rsidRDefault="00EE0E98" w:rsidP="00EE0E98">
      <w:pPr>
        <w:pStyle w:val="ListParagraph"/>
        <w:numPr>
          <w:ilvl w:val="0"/>
          <w:numId w:val="35"/>
        </w:numPr>
        <w:jc w:val="both"/>
      </w:pPr>
      <w:r>
        <w:rPr>
          <w:b/>
        </w:rPr>
        <w:t>I</w:t>
      </w:r>
      <w:r w:rsidRPr="006D484F">
        <w:rPr>
          <w:b/>
        </w:rPr>
        <w:t>mpact</w:t>
      </w:r>
      <w:r w:rsidRPr="00A76B1A">
        <w:t xml:space="preserve">: </w:t>
      </w:r>
      <w:r w:rsidRPr="008C0A0B">
        <w:t>Allows for targeted influence within specific committees and workgroups. Provides a platform for continuous and substantive contribution to the standards development process</w:t>
      </w:r>
      <w:r>
        <w:t xml:space="preserve"> through meeting participation and commenting</w:t>
      </w:r>
      <w:r w:rsidRPr="008C0A0B">
        <w:t>, though influence may be tempered by the lack of voting rights.</w:t>
      </w:r>
    </w:p>
    <w:p w14:paraId="48B2D9CE" w14:textId="77777777" w:rsidR="00EE0E98" w:rsidRPr="00205212" w:rsidRDefault="00EE0E98" w:rsidP="00EE0E98">
      <w:pPr>
        <w:pStyle w:val="ListParagraph"/>
        <w:numPr>
          <w:ilvl w:val="0"/>
          <w:numId w:val="35"/>
        </w:numPr>
        <w:jc w:val="both"/>
      </w:pPr>
      <w:r w:rsidRPr="1F5DB534">
        <w:rPr>
          <w:b/>
          <w:bCs/>
        </w:rPr>
        <w:t xml:space="preserve">Process to join: </w:t>
      </w:r>
      <w:r>
        <w:t xml:space="preserve">The organization sends a </w:t>
      </w:r>
      <w:hyperlink r:id="rId14">
        <w:r w:rsidRPr="1F5DB534">
          <w:rPr>
            <w:rStyle w:val="Hyperlink"/>
          </w:rPr>
          <w:t>liaison application form</w:t>
        </w:r>
      </w:hyperlink>
      <w:r>
        <w:t xml:space="preserve"> to ISO/CS and the ISO committee, which is followed by an approval ballot at the committee-level.</w:t>
      </w:r>
    </w:p>
    <w:p w14:paraId="105A98C5" w14:textId="77777777" w:rsidR="00EE0E98" w:rsidRDefault="00EE0E98" w:rsidP="00EE0E98">
      <w:pPr>
        <w:pStyle w:val="ListParagraph"/>
        <w:ind w:left="720" w:firstLine="0"/>
      </w:pPr>
    </w:p>
    <w:p w14:paraId="7EA36460" w14:textId="77777777" w:rsidR="00EE0E98" w:rsidRPr="00587341" w:rsidRDefault="00EE0E98" w:rsidP="00EE0E98">
      <w:pPr>
        <w:pStyle w:val="Heading4"/>
      </w:pPr>
      <w:r w:rsidRPr="00587341">
        <w:lastRenderedPageBreak/>
        <w:t xml:space="preserve">PSDO agreement </w:t>
      </w:r>
    </w:p>
    <w:p w14:paraId="5D4EBA86" w14:textId="77777777" w:rsidR="00EE0E98" w:rsidRPr="00A76B1A" w:rsidRDefault="00EE0E98" w:rsidP="00EE0E98">
      <w:pPr>
        <w:jc w:val="both"/>
      </w:pPr>
      <w:r>
        <w:t>An agreement between ISO and (typically) another standards development organization specifying the terms under which the organizations will jointly develop standards/deliverables, including elements like use of logos, dual designation, copyright</w:t>
      </w:r>
      <w:r w:rsidRPr="00720703">
        <w:t xml:space="preserve">, </w:t>
      </w:r>
      <w:r>
        <w:t>and/</w:t>
      </w:r>
      <w:r w:rsidRPr="00720703">
        <w:t>or specific commercial considerations.</w:t>
      </w:r>
      <w:r>
        <w:t xml:space="preserve"> </w:t>
      </w:r>
      <w:r w:rsidRPr="00FE1B6D">
        <w:t xml:space="preserve">PSDOs are particularly effective when </w:t>
      </w:r>
      <w:r>
        <w:t>the</w:t>
      </w:r>
      <w:r w:rsidRPr="00FE1B6D">
        <w:t xml:space="preserve"> organizations' portfolios complement each other </w:t>
      </w:r>
      <w:proofErr w:type="gramStart"/>
      <w:r w:rsidRPr="00FE1B6D">
        <w:t>in a given</w:t>
      </w:r>
      <w:proofErr w:type="gramEnd"/>
      <w:r w:rsidRPr="00FE1B6D">
        <w:t xml:space="preserve"> area of standardization.</w:t>
      </w:r>
      <w:r>
        <w:t xml:space="preserve"> PSDOs are typically used when a p</w:t>
      </w:r>
      <w:r w:rsidRPr="00A76B1A">
        <w:t xml:space="preserve">artner </w:t>
      </w:r>
      <w:r>
        <w:t>proposes their own work/copyright to</w:t>
      </w:r>
      <w:r w:rsidRPr="00A76B1A">
        <w:t xml:space="preserve"> ISO to </w:t>
      </w:r>
      <w:r>
        <w:t>“</w:t>
      </w:r>
      <w:r w:rsidRPr="00A76B1A">
        <w:t>fast-track</w:t>
      </w:r>
      <w:r>
        <w:t>”</w:t>
      </w:r>
      <w:r w:rsidRPr="00A76B1A">
        <w:t xml:space="preserve"> into the international system</w:t>
      </w:r>
      <w:r>
        <w:t xml:space="preserve">, resulting in the publication of a joint standard/deliverable (e.g. </w:t>
      </w:r>
      <w:r w:rsidRPr="00C128A5">
        <w:rPr>
          <w:i/>
        </w:rPr>
        <w:t>ISO/XYZ 1234</w:t>
      </w:r>
      <w:r>
        <w:t>)</w:t>
      </w:r>
      <w:r w:rsidRPr="00A76B1A">
        <w:t>.</w:t>
      </w:r>
    </w:p>
    <w:p w14:paraId="30568611" w14:textId="77777777" w:rsidR="00EE0E98" w:rsidRDefault="00EE0E98" w:rsidP="00EE0E98">
      <w:pPr>
        <w:pStyle w:val="ListParagraph"/>
        <w:numPr>
          <w:ilvl w:val="0"/>
          <w:numId w:val="36"/>
        </w:numPr>
        <w:jc w:val="both"/>
      </w:pPr>
      <w:r w:rsidRPr="3CDEC5C1">
        <w:rPr>
          <w:b/>
          <w:bCs/>
        </w:rPr>
        <w:t>Commitment level</w:t>
      </w:r>
      <w:r>
        <w:t>: High: Significant resource investment in joint standard development and approval processes.</w:t>
      </w:r>
    </w:p>
    <w:p w14:paraId="0261F66C" w14:textId="77777777" w:rsidR="00EE0E98" w:rsidRDefault="00EE0E98" w:rsidP="00EE0E98">
      <w:pPr>
        <w:pStyle w:val="ListParagraph"/>
        <w:numPr>
          <w:ilvl w:val="0"/>
          <w:numId w:val="36"/>
        </w:numPr>
        <w:jc w:val="both"/>
      </w:pPr>
      <w:r w:rsidRPr="3CDEC5C1">
        <w:rPr>
          <w:b/>
          <w:bCs/>
        </w:rPr>
        <w:t>Key Benefits</w:t>
      </w:r>
      <w:r>
        <w:t>: International recognition and dissemination of jointly developed standards; enhanced global impact.</w:t>
      </w:r>
    </w:p>
    <w:p w14:paraId="03374236" w14:textId="77777777" w:rsidR="00EE0E98" w:rsidRDefault="00EE0E98" w:rsidP="00EE0E98">
      <w:pPr>
        <w:pStyle w:val="ListParagraph"/>
        <w:numPr>
          <w:ilvl w:val="0"/>
          <w:numId w:val="36"/>
        </w:numPr>
        <w:jc w:val="both"/>
      </w:pPr>
      <w:r w:rsidRPr="3CDEC5C1">
        <w:rPr>
          <w:b/>
          <w:bCs/>
        </w:rPr>
        <w:t>Impact</w:t>
      </w:r>
      <w:r>
        <w:t xml:space="preserve">: Enables direct inclusion of the partner organization’s copyright within the ISO framework through a “fast track” procedure, which accelerates the standards development process. Avoids duplication in the marketplace and allows for resource sharing. Gives stipulations for consensus between the two organizations and allows for mutual recognition of the cooperation through dual logo and dual designation of the final deliverable(s) </w:t>
      </w:r>
    </w:p>
    <w:p w14:paraId="79F3D534" w14:textId="77777777" w:rsidR="00EE0E98" w:rsidRPr="000219E0" w:rsidRDefault="00EE0E98" w:rsidP="00EE0E98">
      <w:pPr>
        <w:pStyle w:val="ListParagraph"/>
        <w:numPr>
          <w:ilvl w:val="0"/>
          <w:numId w:val="36"/>
        </w:numPr>
        <w:jc w:val="both"/>
      </w:pPr>
      <w:r w:rsidRPr="3CDEC5C1">
        <w:rPr>
          <w:b/>
          <w:bCs/>
        </w:rPr>
        <w:t>Process to join</w:t>
      </w:r>
      <w:r>
        <w:t>: When a final draft is agreed between the two organizations, ISO/CS must seek final approval by the ISO Technical Management Board (TMB) for the standards development process, followed by approval by the ISO Council for the overall agreement.</w:t>
      </w:r>
    </w:p>
    <w:p w14:paraId="7587D882" w14:textId="77777777" w:rsidR="00EE0E98" w:rsidRPr="004122EF" w:rsidRDefault="00EE0E98" w:rsidP="00EE0E98">
      <w:pPr>
        <w:pStyle w:val="Heading4"/>
      </w:pPr>
      <w:r>
        <w:t xml:space="preserve">Ad-hoc cooperation agreement </w:t>
      </w:r>
    </w:p>
    <w:p w14:paraId="7789F1B4" w14:textId="77777777" w:rsidR="00EE0E98" w:rsidRPr="004122EF" w:rsidRDefault="00EE0E98" w:rsidP="00EE0E98">
      <w:pPr>
        <w:jc w:val="both"/>
      </w:pPr>
      <w:r>
        <w:t>An agreement between two organizations (at the organizational level) which formalizes the conditions for collaboration outside of the traditional terms found in the other options noted above. Ad-hoc cooperation agreements allows for more flexibility to modify terms according to each organization’s needs with well-defined mechanisms to facilitate collaboration, including process to work jointly, consensus/approval mechanisms, use of copyright, use of logos, dual designation, etc.</w:t>
      </w:r>
    </w:p>
    <w:p w14:paraId="020A779D" w14:textId="77777777" w:rsidR="00EE0E98" w:rsidRPr="00A76B1A" w:rsidRDefault="00EE0E98" w:rsidP="00EE0E98">
      <w:pPr>
        <w:pStyle w:val="ListParagraph"/>
        <w:numPr>
          <w:ilvl w:val="0"/>
          <w:numId w:val="37"/>
        </w:numPr>
        <w:jc w:val="both"/>
      </w:pPr>
      <w:r w:rsidRPr="006D484F">
        <w:rPr>
          <w:b/>
        </w:rPr>
        <w:t>Commitment level</w:t>
      </w:r>
      <w:r w:rsidRPr="00A76B1A">
        <w:t>: Variable: Depends on the project scope and duration.</w:t>
      </w:r>
    </w:p>
    <w:p w14:paraId="669B60D4" w14:textId="77777777" w:rsidR="00EE0E98" w:rsidRPr="00A76B1A" w:rsidRDefault="00EE0E98" w:rsidP="00EE0E98">
      <w:pPr>
        <w:pStyle w:val="ListParagraph"/>
        <w:numPr>
          <w:ilvl w:val="0"/>
          <w:numId w:val="37"/>
        </w:numPr>
        <w:jc w:val="both"/>
      </w:pPr>
      <w:r w:rsidRPr="006D484F">
        <w:rPr>
          <w:b/>
        </w:rPr>
        <w:t>Key benefits</w:t>
      </w:r>
      <w:r w:rsidRPr="00A76B1A">
        <w:t>: Flexibility to customize agreement to meet needs of both organizations; focused impact on specific issues.</w:t>
      </w:r>
    </w:p>
    <w:p w14:paraId="71DE97F5" w14:textId="77777777" w:rsidR="00EE0E98" w:rsidRDefault="00EE0E98" w:rsidP="00EE0E98">
      <w:pPr>
        <w:pStyle w:val="ListParagraph"/>
        <w:numPr>
          <w:ilvl w:val="0"/>
          <w:numId w:val="37"/>
        </w:numPr>
        <w:jc w:val="both"/>
      </w:pPr>
      <w:r w:rsidRPr="006D484F">
        <w:rPr>
          <w:b/>
        </w:rPr>
        <w:t>Impact</w:t>
      </w:r>
      <w:r w:rsidRPr="00A76B1A">
        <w:t xml:space="preserve">: </w:t>
      </w:r>
      <w:r>
        <w:t>Allows for greater flexibility outside of ISO’s traditional process</w:t>
      </w:r>
      <w:r w:rsidRPr="003B407A">
        <w:rPr>
          <w:lang w:val="en-US"/>
        </w:rPr>
        <w:t>es</w:t>
      </w:r>
      <w:r>
        <w:t xml:space="preserve"> and/or business model, e</w:t>
      </w:r>
      <w:r w:rsidRPr="008262DC">
        <w:t>ns</w:t>
      </w:r>
      <w:r>
        <w:t>uring</w:t>
      </w:r>
      <w:r w:rsidRPr="008262DC">
        <w:t xml:space="preserve"> mutual benefit</w:t>
      </w:r>
      <w:r>
        <w:t>, recognition,</w:t>
      </w:r>
      <w:r w:rsidRPr="008262DC">
        <w:t xml:space="preserve"> and decision making </w:t>
      </w:r>
      <w:r>
        <w:t>between the organizations</w:t>
      </w:r>
      <w:r w:rsidRPr="008262DC">
        <w:t>. Provides a structured framework for collaboration, maximizing resource use and enhancing the effectiveness of the resulting standards.</w:t>
      </w:r>
      <w:r>
        <w:t xml:space="preserve"> Sets clear conditions for the mechanisms of joint development</w:t>
      </w:r>
      <w:r w:rsidRPr="00D76B7A">
        <w:rPr>
          <w:lang w:val="en-US"/>
        </w:rPr>
        <w:t xml:space="preserve"> and approvals</w:t>
      </w:r>
      <w:r>
        <w:t xml:space="preserve"> throughout the standards development lifecycle. </w:t>
      </w:r>
    </w:p>
    <w:p w14:paraId="037874EA" w14:textId="77777777" w:rsidR="00EE0E98" w:rsidRDefault="00EE0E98" w:rsidP="00EE0E98">
      <w:pPr>
        <w:pStyle w:val="ListParagraph"/>
        <w:numPr>
          <w:ilvl w:val="0"/>
          <w:numId w:val="37"/>
        </w:numPr>
        <w:jc w:val="both"/>
      </w:pPr>
      <w:r>
        <w:rPr>
          <w:b/>
        </w:rPr>
        <w:t>Process to join</w:t>
      </w:r>
      <w:r w:rsidRPr="00E65FEE">
        <w:t>:</w:t>
      </w:r>
      <w:r>
        <w:t xml:space="preserve"> When a final draft is agreed between the two organizations, ISO/CS must seek final approval by the ISO Technical Management Board (</w:t>
      </w:r>
      <w:r w:rsidRPr="00E65FEE">
        <w:t>TMB</w:t>
      </w:r>
      <w:r>
        <w:t xml:space="preserve">) for the </w:t>
      </w:r>
      <w:r w:rsidRPr="00E65FEE">
        <w:t xml:space="preserve">standards development process, followed by </w:t>
      </w:r>
      <w:r>
        <w:t xml:space="preserve">approval by the </w:t>
      </w:r>
      <w:r w:rsidRPr="00E65FEE">
        <w:t>ISO Council</w:t>
      </w:r>
      <w:r>
        <w:t xml:space="preserve"> for the overall agreement.</w:t>
      </w:r>
    </w:p>
    <w:p w14:paraId="1EA762C2" w14:textId="77777777" w:rsidR="00BA41C8" w:rsidRPr="00BA41C8" w:rsidRDefault="00BA41C8" w:rsidP="00BA41C8">
      <w:pPr>
        <w:jc w:val="both"/>
        <w:rPr>
          <w:b/>
          <w:bCs/>
        </w:rPr>
      </w:pPr>
    </w:p>
    <w:sectPr w:rsidR="00BA41C8" w:rsidRPr="00BA41C8" w:rsidSect="00CD2E64">
      <w:headerReference w:type="default" r:id="rId15"/>
      <w:footerReference w:type="default" r:id="rId16"/>
      <w:headerReference w:type="first" r:id="rId17"/>
      <w:footerReference w:type="first" r:id="rId18"/>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63AC4" w14:textId="77777777" w:rsidR="00625C63" w:rsidRDefault="00625C63" w:rsidP="00C32E24">
      <w:r>
        <w:separator/>
      </w:r>
    </w:p>
  </w:endnote>
  <w:endnote w:type="continuationSeparator" w:id="0">
    <w:p w14:paraId="08109150" w14:textId="77777777" w:rsidR="00625C63" w:rsidRDefault="00625C63" w:rsidP="00C32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Inter">
    <w:panose1 w:val="02000503000000020004"/>
    <w:charset w:val="00"/>
    <w:family w:val="auto"/>
    <w:notTrueType/>
    <w:pitch w:val="variable"/>
    <w:sig w:usb0="E0000AFF" w:usb1="5200A1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59754" w14:textId="2D0E4171" w:rsidR="00D82F18" w:rsidRDefault="00BA41C8" w:rsidP="00D82F18">
    <w:pPr>
      <w:pStyle w:val="Footer"/>
      <w:pBdr>
        <w:top w:val="none" w:sz="0" w:space="0" w:color="auto"/>
      </w:pBdr>
      <w:tabs>
        <w:tab w:val="clear" w:pos="9638"/>
      </w:tabs>
      <w:spacing w:before="240" w:after="120"/>
      <w:jc w:val="right"/>
    </w:pPr>
    <w:r>
      <w:t>ISO/CS SPU</w:t>
    </w:r>
  </w:p>
  <w:p w14:paraId="1CDB36E7" w14:textId="7DBB5C9F" w:rsidR="00490142" w:rsidRPr="00D82F18" w:rsidRDefault="0089219F" w:rsidP="00D82F18">
    <w:pPr>
      <w:pStyle w:val="Footer"/>
      <w:tabs>
        <w:tab w:val="clear" w:pos="9638"/>
      </w:tabs>
    </w:pPr>
    <w:fldSimple w:instr=" STYLEREF  HeaderReference  \* MERGEFORMAT ">
      <w:r w:rsidR="006251DA">
        <w:t>ISO Strategic Partnership Unit – Partner Assessment (Technical)</w:t>
      </w:r>
    </w:fldSimple>
    <w:r w:rsidR="00D82F18">
      <w:ptab w:relativeTo="margin" w:alignment="center" w:leader="none"/>
    </w:r>
    <w:fldSimple w:instr=" STYLEREF  HeaderDate  \* MERGEFORMAT ">
      <w:r w:rsidR="006251DA">
        <w:t>Date</w:t>
      </w:r>
    </w:fldSimple>
    <w:r w:rsidR="00D82F18">
      <w:ptab w:relativeTo="margin" w:alignment="right" w:leader="none"/>
    </w:r>
    <w:r w:rsidR="00D82F18" w:rsidRPr="00E453AE">
      <w:rPr>
        <w:b/>
        <w:bCs/>
        <w:color w:val="E3000F" w:themeColor="accent1"/>
      </w:rPr>
      <w:fldChar w:fldCharType="begin"/>
    </w:r>
    <w:r w:rsidR="00D82F18" w:rsidRPr="00E453AE">
      <w:rPr>
        <w:b/>
        <w:bCs/>
        <w:color w:val="E3000F" w:themeColor="accent1"/>
      </w:rPr>
      <w:instrText>PAGE   \* MERGEFORMAT</w:instrText>
    </w:r>
    <w:r w:rsidR="00D82F18" w:rsidRPr="00E453AE">
      <w:rPr>
        <w:b/>
        <w:bCs/>
        <w:color w:val="E3000F" w:themeColor="accent1"/>
      </w:rPr>
      <w:fldChar w:fldCharType="separate"/>
    </w:r>
    <w:r w:rsidR="00D82F18">
      <w:rPr>
        <w:b/>
        <w:bCs/>
        <w:color w:val="E3000F" w:themeColor="accent1"/>
      </w:rPr>
      <w:t>3</w:t>
    </w:r>
    <w:r w:rsidR="00D82F18" w:rsidRPr="00E453AE">
      <w:rPr>
        <w:b/>
        <w:bCs/>
        <w:color w:val="E3000F" w:themeColor="accen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8C540" w14:textId="7FC35E0C" w:rsidR="00D82F18" w:rsidRDefault="00D82F18" w:rsidP="00D82F18">
    <w:pPr>
      <w:pStyle w:val="Footer"/>
      <w:pBdr>
        <w:top w:val="none" w:sz="0" w:space="0" w:color="auto"/>
      </w:pBdr>
      <w:tabs>
        <w:tab w:val="clear" w:pos="9638"/>
      </w:tabs>
      <w:spacing w:before="240" w:after="120"/>
      <w:jc w:val="right"/>
    </w:pPr>
    <w:r w:rsidRPr="00D82F18">
      <w:t>ISO</w:t>
    </w:r>
    <w:r w:rsidR="00BA41C8">
      <w:t>/CS</w:t>
    </w:r>
    <w:r w:rsidRPr="00D82F18">
      <w:t xml:space="preserve"> </w:t>
    </w:r>
    <w:r w:rsidR="003816E4">
      <w:t>SPU</w:t>
    </w:r>
  </w:p>
  <w:p w14:paraId="3D8432CB" w14:textId="2D7119D7" w:rsidR="004B04B5" w:rsidRPr="0055613F" w:rsidRDefault="0089219F" w:rsidP="00D82F18">
    <w:pPr>
      <w:pStyle w:val="Footer"/>
      <w:tabs>
        <w:tab w:val="clear" w:pos="9638"/>
      </w:tabs>
    </w:pPr>
    <w:fldSimple w:instr=" STYLEREF  HeaderReference  \* MERGEFORMAT ">
      <w:r w:rsidR="002400A6">
        <w:t>ISO Strategic Partnership Unit – Partner Assessment (Technical)</w:t>
      </w:r>
    </w:fldSimple>
    <w:r w:rsidR="008D45BC">
      <w:ptab w:relativeTo="margin" w:alignment="center" w:leader="none"/>
    </w:r>
    <w:fldSimple w:instr=" STYLEREF  HeaderDate  \* MERGEFORMAT ">
      <w:r w:rsidR="002400A6">
        <w:t>Date</w:t>
      </w:r>
    </w:fldSimple>
    <w:r w:rsidR="008D45BC">
      <w:ptab w:relativeTo="margin" w:alignment="right" w:leader="none"/>
    </w:r>
    <w:r w:rsidR="008D45BC" w:rsidRPr="00E453AE">
      <w:rPr>
        <w:b/>
        <w:bCs/>
        <w:color w:val="E3000F" w:themeColor="accent1"/>
      </w:rPr>
      <w:fldChar w:fldCharType="begin"/>
    </w:r>
    <w:r w:rsidR="008D45BC" w:rsidRPr="00E453AE">
      <w:rPr>
        <w:b/>
        <w:bCs/>
        <w:color w:val="E3000F" w:themeColor="accent1"/>
      </w:rPr>
      <w:instrText>PAGE   \* MERGEFORMAT</w:instrText>
    </w:r>
    <w:r w:rsidR="008D45BC" w:rsidRPr="00E453AE">
      <w:rPr>
        <w:b/>
        <w:bCs/>
        <w:color w:val="E3000F" w:themeColor="accent1"/>
      </w:rPr>
      <w:fldChar w:fldCharType="separate"/>
    </w:r>
    <w:r w:rsidR="008D45BC">
      <w:rPr>
        <w:b/>
        <w:bCs/>
        <w:color w:val="E3000F" w:themeColor="accent1"/>
      </w:rPr>
      <w:t>2</w:t>
    </w:r>
    <w:r w:rsidR="008D45BC" w:rsidRPr="00E453AE">
      <w:rPr>
        <w:b/>
        <w:bCs/>
        <w:color w:val="E3000F"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861C3" w14:textId="77777777" w:rsidR="00625C63" w:rsidRDefault="00625C63" w:rsidP="00C32E24">
      <w:r>
        <w:separator/>
      </w:r>
    </w:p>
  </w:footnote>
  <w:footnote w:type="continuationSeparator" w:id="0">
    <w:p w14:paraId="26EC3236" w14:textId="77777777" w:rsidR="00625C63" w:rsidRDefault="00625C63" w:rsidP="00C32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BBB64" w14:textId="77777777" w:rsidR="00490142" w:rsidRPr="00007158" w:rsidRDefault="00490142" w:rsidP="00007158">
    <w:pPr>
      <w:spacing w:after="480"/>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2FA2C" w14:textId="77777777" w:rsidR="004B04B5" w:rsidRDefault="004B04B5" w:rsidP="00AB09BE">
    <w:pPr>
      <w:pStyle w:val="Header"/>
    </w:pPr>
    <w:r>
      <w:rPr>
        <w:noProof/>
        <w:lang w:val="fr-CH" w:eastAsia="fr-CH"/>
      </w:rPr>
      <w:drawing>
        <wp:anchor distT="0" distB="0" distL="114300" distR="114300" simplePos="0" relativeHeight="251668480" behindDoc="0" locked="0" layoutInCell="1" allowOverlap="1" wp14:anchorId="46624BBD" wp14:editId="44006A86">
          <wp:simplePos x="0" y="0"/>
          <wp:positionH relativeFrom="page">
            <wp:posOffset>720090</wp:posOffset>
          </wp:positionH>
          <wp:positionV relativeFrom="page">
            <wp:posOffset>720090</wp:posOffset>
          </wp:positionV>
          <wp:extent cx="720000" cy="720000"/>
          <wp:effectExtent l="0" t="0" r="4445" b="4445"/>
          <wp:wrapNone/>
          <wp:docPr id="6" name="Graphiqu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CBA80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C60A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6DED8"/>
    <w:lvl w:ilvl="0">
      <w:start w:val="1"/>
      <w:numFmt w:val="lowerRoman"/>
      <w:lvlText w:val="%1."/>
      <w:lvlJc w:val="left"/>
      <w:pPr>
        <w:ind w:left="926" w:hanging="360"/>
      </w:pPr>
      <w:rPr>
        <w:rFonts w:hint="default"/>
      </w:rPr>
    </w:lvl>
  </w:abstractNum>
  <w:abstractNum w:abstractNumId="3" w15:restartNumberingAfterBreak="0">
    <w:nsid w:val="FFFFFF7F"/>
    <w:multiLevelType w:val="singleLevel"/>
    <w:tmpl w:val="100C0019"/>
    <w:lvl w:ilvl="0">
      <w:start w:val="1"/>
      <w:numFmt w:val="lowerLetter"/>
      <w:lvlText w:val="%1."/>
      <w:lvlJc w:val="left"/>
      <w:pPr>
        <w:ind w:left="643" w:hanging="360"/>
      </w:pPr>
    </w:lvl>
  </w:abstractNum>
  <w:abstractNum w:abstractNumId="4" w15:restartNumberingAfterBreak="0">
    <w:nsid w:val="FFFFFF80"/>
    <w:multiLevelType w:val="singleLevel"/>
    <w:tmpl w:val="B62E8E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6442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01E9C2E"/>
    <w:lvl w:ilvl="0">
      <w:start w:val="1"/>
      <w:numFmt w:val="bullet"/>
      <w:pStyle w:val="ListBullet3"/>
      <w:lvlText w:val="-"/>
      <w:lvlJc w:val="left"/>
      <w:pPr>
        <w:ind w:left="1040" w:hanging="360"/>
      </w:pPr>
      <w:rPr>
        <w:rFonts w:ascii="Inter" w:hAnsi="Inter" w:hint="default"/>
      </w:rPr>
    </w:lvl>
  </w:abstractNum>
  <w:abstractNum w:abstractNumId="7" w15:restartNumberingAfterBreak="0">
    <w:nsid w:val="FFFFFF83"/>
    <w:multiLevelType w:val="singleLevel"/>
    <w:tmpl w:val="15F0E05A"/>
    <w:lvl w:ilvl="0">
      <w:start w:val="1"/>
      <w:numFmt w:val="bullet"/>
      <w:pStyle w:val="ListBullet2"/>
      <w:lvlText w:val="o"/>
      <w:lvlJc w:val="left"/>
      <w:pPr>
        <w:ind w:left="700" w:hanging="360"/>
      </w:pPr>
      <w:rPr>
        <w:rFonts w:ascii="Inter" w:hAnsi="Inter" w:cs="Inter" w:hint="default"/>
        <w:b w:val="0"/>
        <w:i w:val="0"/>
        <w:sz w:val="14"/>
      </w:rPr>
    </w:lvl>
  </w:abstractNum>
  <w:abstractNum w:abstractNumId="8" w15:restartNumberingAfterBreak="0">
    <w:nsid w:val="FFFFFF88"/>
    <w:multiLevelType w:val="singleLevel"/>
    <w:tmpl w:val="100C000F"/>
    <w:lvl w:ilvl="0">
      <w:start w:val="1"/>
      <w:numFmt w:val="decimal"/>
      <w:lvlText w:val="%1."/>
      <w:lvlJc w:val="left"/>
      <w:pPr>
        <w:ind w:left="360" w:hanging="360"/>
      </w:pPr>
    </w:lvl>
  </w:abstractNum>
  <w:abstractNum w:abstractNumId="9" w15:restartNumberingAfterBreak="0">
    <w:nsid w:val="FFFFFF89"/>
    <w:multiLevelType w:val="singleLevel"/>
    <w:tmpl w:val="FB1055A0"/>
    <w:lvl w:ilvl="0">
      <w:start w:val="1"/>
      <w:numFmt w:val="bullet"/>
      <w:pStyle w:val="ListBullet"/>
      <w:lvlText w:val=""/>
      <w:lvlJc w:val="left"/>
      <w:pPr>
        <w:ind w:left="360" w:hanging="360"/>
      </w:pPr>
      <w:rPr>
        <w:rFonts w:ascii="Symbol" w:hAnsi="Symbol" w:cs="Symbol" w:hint="default"/>
        <w:color w:val="E3000F" w:themeColor="accent1"/>
      </w:rPr>
    </w:lvl>
  </w:abstractNum>
  <w:abstractNum w:abstractNumId="10" w15:restartNumberingAfterBreak="0">
    <w:nsid w:val="09CD2A63"/>
    <w:multiLevelType w:val="hybridMultilevel"/>
    <w:tmpl w:val="BF022F2A"/>
    <w:lvl w:ilvl="0" w:tplc="9EB868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6A3216"/>
    <w:multiLevelType w:val="hybridMultilevel"/>
    <w:tmpl w:val="56964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A9F289E"/>
    <w:multiLevelType w:val="multilevel"/>
    <w:tmpl w:val="D4045572"/>
    <w:styleLink w:val="HeadingItem2level"/>
    <w:lvl w:ilvl="0">
      <w:start w:val="1"/>
      <w:numFmt w:val="decimal"/>
      <w:pStyle w:val="Heading1Item"/>
      <w:lvlText w:val="ITEM %1"/>
      <w:lvlJc w:val="left"/>
      <w:pPr>
        <w:ind w:left="1588" w:hanging="1588"/>
      </w:pPr>
      <w:rPr>
        <w:rFonts w:hint="default"/>
      </w:rPr>
    </w:lvl>
    <w:lvl w:ilvl="1">
      <w:start w:val="1"/>
      <w:numFmt w:val="decimal"/>
      <w:pStyle w:val="Heading2Item"/>
      <w:lvlText w:val="ITEM %1.%2"/>
      <w:lvlJc w:val="left"/>
      <w:pPr>
        <w:ind w:left="1588" w:hanging="158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0024CD1"/>
    <w:multiLevelType w:val="multilevel"/>
    <w:tmpl w:val="F3C42F8C"/>
    <w:lvl w:ilvl="0">
      <w:start w:val="1"/>
      <w:numFmt w:val="lowerLetter"/>
      <w:lvlText w:val="%1."/>
      <w:lvlJc w:val="left"/>
      <w:pPr>
        <w:ind w:left="7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69C09E5"/>
    <w:multiLevelType w:val="hybridMultilevel"/>
    <w:tmpl w:val="3EA21F7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1C423AF6"/>
    <w:multiLevelType w:val="multilevel"/>
    <w:tmpl w:val="10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D4506C0"/>
    <w:multiLevelType w:val="hybridMultilevel"/>
    <w:tmpl w:val="670CB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EF1A51"/>
    <w:multiLevelType w:val="hybridMultilevel"/>
    <w:tmpl w:val="75B4E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35099B"/>
    <w:multiLevelType w:val="multilevel"/>
    <w:tmpl w:val="1868AA5C"/>
    <w:styleLink w:val="HeadingNumber4level"/>
    <w:lvl w:ilvl="0">
      <w:start w:val="1"/>
      <w:numFmt w:val="decimal"/>
      <w:pStyle w:val="Heading1Number"/>
      <w:lvlText w:val="%1"/>
      <w:lvlJc w:val="left"/>
      <w:pPr>
        <w:ind w:left="454" w:hanging="454"/>
      </w:pPr>
      <w:rPr>
        <w:rFonts w:hint="default"/>
      </w:rPr>
    </w:lvl>
    <w:lvl w:ilvl="1">
      <w:start w:val="1"/>
      <w:numFmt w:val="decimal"/>
      <w:pStyle w:val="Heading2Number"/>
      <w:lvlText w:val="%1.%2"/>
      <w:lvlJc w:val="left"/>
      <w:pPr>
        <w:ind w:left="680" w:hanging="680"/>
      </w:pPr>
      <w:rPr>
        <w:rFonts w:hint="default"/>
      </w:rPr>
    </w:lvl>
    <w:lvl w:ilvl="2">
      <w:start w:val="1"/>
      <w:numFmt w:val="decimal"/>
      <w:pStyle w:val="Heading3Number"/>
      <w:lvlText w:val="%1.%2.%3"/>
      <w:lvlJc w:val="left"/>
      <w:pPr>
        <w:ind w:left="851" w:hanging="851"/>
      </w:pPr>
      <w:rPr>
        <w:rFonts w:hint="default"/>
      </w:rPr>
    </w:lvl>
    <w:lvl w:ilvl="3">
      <w:start w:val="1"/>
      <w:numFmt w:val="decimal"/>
      <w:pStyle w:val="Heading4Number"/>
      <w:lvlText w:val="%1.%2.%3.%4"/>
      <w:lvlJc w:val="left"/>
      <w:pPr>
        <w:ind w:left="851" w:hanging="85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C586344"/>
    <w:multiLevelType w:val="multilevel"/>
    <w:tmpl w:val="CBD2D2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DC05716"/>
    <w:multiLevelType w:val="hybridMultilevel"/>
    <w:tmpl w:val="9F6C80BA"/>
    <w:lvl w:ilvl="0" w:tplc="7284CE3E">
      <w:start w:val="1"/>
      <w:numFmt w:val="decimal"/>
      <w:lvlText w:val="%1."/>
      <w:lvlJc w:val="left"/>
      <w:pPr>
        <w:ind w:left="360" w:hanging="360"/>
      </w:p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31D97CF2"/>
    <w:multiLevelType w:val="multilevel"/>
    <w:tmpl w:val="2C24A744"/>
    <w:styleLink w:val="ListNumber112level"/>
    <w:lvl w:ilvl="0">
      <w:start w:val="1"/>
      <w:numFmt w:val="decimal"/>
      <w:pStyle w:val="ListNumber1"/>
      <w:lvlText w:val="%1."/>
      <w:lvlJc w:val="left"/>
      <w:pPr>
        <w:ind w:left="340" w:hanging="340"/>
      </w:pPr>
      <w:rPr>
        <w:rFonts w:hint="default"/>
      </w:rPr>
    </w:lvl>
    <w:lvl w:ilvl="1">
      <w:start w:val="1"/>
      <w:numFmt w:val="decimal"/>
      <w:pStyle w:val="ListNumber11"/>
      <w:lvlText w:val="%1.%2."/>
      <w:lvlJc w:val="left"/>
      <w:pPr>
        <w:ind w:left="90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A2D0A63"/>
    <w:multiLevelType w:val="hybridMultilevel"/>
    <w:tmpl w:val="552A9E4E"/>
    <w:lvl w:ilvl="0" w:tplc="8D00A698">
      <w:start w:val="1"/>
      <w:numFmt w:val="decimal"/>
      <w:lvlText w:val="Item %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15:restartNumberingAfterBreak="0">
    <w:nsid w:val="40AA090A"/>
    <w:multiLevelType w:val="hybridMultilevel"/>
    <w:tmpl w:val="D452D8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5C5F2E"/>
    <w:multiLevelType w:val="hybridMultilevel"/>
    <w:tmpl w:val="8EBA0DD2"/>
    <w:lvl w:ilvl="0" w:tplc="9DB8121E">
      <w:start w:val="1"/>
      <w:numFmt w:val="bullet"/>
      <w:pStyle w:val="ListDash"/>
      <w:lvlText w:val="–"/>
      <w:lvlJc w:val="left"/>
      <w:pPr>
        <w:ind w:left="720" w:hanging="360"/>
      </w:pPr>
      <w:rPr>
        <w:rFonts w:ascii="Cambria" w:hAnsi="Cambria"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509D4CB4"/>
    <w:multiLevelType w:val="singleLevel"/>
    <w:tmpl w:val="100C0019"/>
    <w:lvl w:ilvl="0">
      <w:start w:val="1"/>
      <w:numFmt w:val="lowerLetter"/>
      <w:lvlText w:val="%1."/>
      <w:lvlJc w:val="left"/>
      <w:pPr>
        <w:ind w:left="643" w:hanging="360"/>
      </w:pPr>
    </w:lvl>
  </w:abstractNum>
  <w:abstractNum w:abstractNumId="26" w15:restartNumberingAfterBreak="0">
    <w:nsid w:val="56E54ED9"/>
    <w:multiLevelType w:val="hybridMultilevel"/>
    <w:tmpl w:val="3684C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747EFD"/>
    <w:multiLevelType w:val="multilevel"/>
    <w:tmpl w:val="5AC813F8"/>
    <w:styleLink w:val="ListNumber3level"/>
    <w:lvl w:ilvl="0">
      <w:start w:val="1"/>
      <w:numFmt w:val="decimal"/>
      <w:pStyle w:val="ListNumber"/>
      <w:lvlText w:val="%1."/>
      <w:lvlJc w:val="left"/>
      <w:pPr>
        <w:ind w:left="340" w:hanging="340"/>
      </w:pPr>
      <w:rPr>
        <w:rFonts w:hint="default"/>
      </w:rPr>
    </w:lvl>
    <w:lvl w:ilvl="1">
      <w:start w:val="1"/>
      <w:numFmt w:val="lowerLetter"/>
      <w:pStyle w:val="ListNumber2"/>
      <w:lvlText w:val="%2."/>
      <w:lvlJc w:val="left"/>
      <w:pPr>
        <w:ind w:left="680" w:hanging="340"/>
      </w:pPr>
      <w:rPr>
        <w:rFonts w:hint="default"/>
      </w:rPr>
    </w:lvl>
    <w:lvl w:ilvl="2">
      <w:start w:val="1"/>
      <w:numFmt w:val="lowerRoman"/>
      <w:pStyle w:val="ListNumber3"/>
      <w:lvlText w:val="%3."/>
      <w:lvlJc w:val="left"/>
      <w:pPr>
        <w:ind w:left="1021"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1425D96"/>
    <w:multiLevelType w:val="hybridMultilevel"/>
    <w:tmpl w:val="2F461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7C40C8"/>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29947284">
    <w:abstractNumId w:val="14"/>
  </w:num>
  <w:num w:numId="2" w16cid:durableId="182129641">
    <w:abstractNumId w:val="9"/>
  </w:num>
  <w:num w:numId="3" w16cid:durableId="153031788">
    <w:abstractNumId w:val="7"/>
  </w:num>
  <w:num w:numId="4" w16cid:durableId="1146387057">
    <w:abstractNumId w:val="6"/>
  </w:num>
  <w:num w:numId="5" w16cid:durableId="2086604431">
    <w:abstractNumId w:val="5"/>
  </w:num>
  <w:num w:numId="6" w16cid:durableId="1947228188">
    <w:abstractNumId w:val="4"/>
  </w:num>
  <w:num w:numId="7" w16cid:durableId="251280822">
    <w:abstractNumId w:val="8"/>
  </w:num>
  <w:num w:numId="8" w16cid:durableId="609898616">
    <w:abstractNumId w:val="3"/>
  </w:num>
  <w:num w:numId="9" w16cid:durableId="9183085">
    <w:abstractNumId w:val="2"/>
  </w:num>
  <w:num w:numId="10" w16cid:durableId="464857182">
    <w:abstractNumId w:val="1"/>
  </w:num>
  <w:num w:numId="11" w16cid:durableId="53899328">
    <w:abstractNumId w:val="0"/>
  </w:num>
  <w:num w:numId="12" w16cid:durableId="1473863182">
    <w:abstractNumId w:val="25"/>
  </w:num>
  <w:num w:numId="13" w16cid:durableId="1142191920">
    <w:abstractNumId w:val="20"/>
  </w:num>
  <w:num w:numId="14" w16cid:durableId="694120032">
    <w:abstractNumId w:val="13"/>
  </w:num>
  <w:num w:numId="15" w16cid:durableId="451676803">
    <w:abstractNumId w:val="27"/>
  </w:num>
  <w:num w:numId="16" w16cid:durableId="20633604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33597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2646301">
    <w:abstractNumId w:val="29"/>
  </w:num>
  <w:num w:numId="19" w16cid:durableId="1131173435">
    <w:abstractNumId w:val="18"/>
  </w:num>
  <w:num w:numId="20" w16cid:durableId="767392202">
    <w:abstractNumId w:val="22"/>
  </w:num>
  <w:num w:numId="21" w16cid:durableId="1719816059">
    <w:abstractNumId w:val="12"/>
  </w:num>
  <w:num w:numId="22" w16cid:durableId="7886687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75524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9211491">
    <w:abstractNumId w:val="21"/>
  </w:num>
  <w:num w:numId="25" w16cid:durableId="820925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0338179">
    <w:abstractNumId w:val="24"/>
  </w:num>
  <w:num w:numId="27" w16cid:durableId="711348401">
    <w:abstractNumId w:val="15"/>
  </w:num>
  <w:num w:numId="28" w16cid:durableId="1680154058">
    <w:abstractNumId w:val="12"/>
  </w:num>
  <w:num w:numId="29" w16cid:durableId="290674888">
    <w:abstractNumId w:val="12"/>
  </w:num>
  <w:num w:numId="30" w16cid:durableId="582643727">
    <w:abstractNumId w:val="10"/>
  </w:num>
  <w:num w:numId="31" w16cid:durableId="584925826">
    <w:abstractNumId w:val="17"/>
  </w:num>
  <w:num w:numId="32" w16cid:durableId="831527938">
    <w:abstractNumId w:val="19"/>
  </w:num>
  <w:num w:numId="33" w16cid:durableId="48112750">
    <w:abstractNumId w:val="26"/>
  </w:num>
  <w:num w:numId="34" w16cid:durableId="1106345456">
    <w:abstractNumId w:val="23"/>
  </w:num>
  <w:num w:numId="35" w16cid:durableId="492068365">
    <w:abstractNumId w:val="28"/>
  </w:num>
  <w:num w:numId="36" w16cid:durableId="351806532">
    <w:abstractNumId w:val="11"/>
  </w:num>
  <w:num w:numId="37" w16cid:durableId="9095392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attachedTemplate r:id="rId1"/>
  <w:defaultTabStop w:val="851"/>
  <w:hyphenationZone w:val="425"/>
  <w:characterSpacingControl w:val="doNotCompress"/>
  <w:hdrShapeDefaults>
    <o:shapedefaults v:ext="edit" spidmax="2050"/>
  </w:hdrShapeDefaults>
  <w:footnotePr>
    <w:footnote w:id="-1"/>
    <w:footnote w:id="0"/>
  </w:footnotePr>
  <w:endnotePr>
    <w:endnote w:id="-1"/>
    <w:endnote w:id="0"/>
  </w:endnotePr>
  <w:compat>
    <w:doNotExpandShiftReturn/>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E4"/>
    <w:rsid w:val="0000661F"/>
    <w:rsid w:val="00007158"/>
    <w:rsid w:val="000304D6"/>
    <w:rsid w:val="000368C8"/>
    <w:rsid w:val="00040BDD"/>
    <w:rsid w:val="00042737"/>
    <w:rsid w:val="00043988"/>
    <w:rsid w:val="000472BF"/>
    <w:rsid w:val="0005248F"/>
    <w:rsid w:val="000579CE"/>
    <w:rsid w:val="0006109E"/>
    <w:rsid w:val="0006590E"/>
    <w:rsid w:val="00067614"/>
    <w:rsid w:val="00067832"/>
    <w:rsid w:val="00071C37"/>
    <w:rsid w:val="000731C7"/>
    <w:rsid w:val="00077198"/>
    <w:rsid w:val="00077BDD"/>
    <w:rsid w:val="000802FD"/>
    <w:rsid w:val="0008060C"/>
    <w:rsid w:val="000841CE"/>
    <w:rsid w:val="00084EF0"/>
    <w:rsid w:val="000905DC"/>
    <w:rsid w:val="00092B63"/>
    <w:rsid w:val="000A235C"/>
    <w:rsid w:val="000A671D"/>
    <w:rsid w:val="000A74FC"/>
    <w:rsid w:val="000B63D5"/>
    <w:rsid w:val="000B709F"/>
    <w:rsid w:val="000C275C"/>
    <w:rsid w:val="000C2CEA"/>
    <w:rsid w:val="000C3A18"/>
    <w:rsid w:val="000D147B"/>
    <w:rsid w:val="000D6416"/>
    <w:rsid w:val="000E5858"/>
    <w:rsid w:val="000E7D36"/>
    <w:rsid w:val="000F476B"/>
    <w:rsid w:val="00102817"/>
    <w:rsid w:val="0010540D"/>
    <w:rsid w:val="0010770E"/>
    <w:rsid w:val="001154E5"/>
    <w:rsid w:val="001264FF"/>
    <w:rsid w:val="001304FC"/>
    <w:rsid w:val="00131C64"/>
    <w:rsid w:val="001320D6"/>
    <w:rsid w:val="00136E83"/>
    <w:rsid w:val="00143994"/>
    <w:rsid w:val="00146D53"/>
    <w:rsid w:val="00150E2A"/>
    <w:rsid w:val="00151B3C"/>
    <w:rsid w:val="00151E4B"/>
    <w:rsid w:val="00154E31"/>
    <w:rsid w:val="001577A7"/>
    <w:rsid w:val="00157FE6"/>
    <w:rsid w:val="0017212F"/>
    <w:rsid w:val="001733E5"/>
    <w:rsid w:val="00180784"/>
    <w:rsid w:val="00182A43"/>
    <w:rsid w:val="00183665"/>
    <w:rsid w:val="00184793"/>
    <w:rsid w:val="00184E8C"/>
    <w:rsid w:val="00187D60"/>
    <w:rsid w:val="001906D7"/>
    <w:rsid w:val="00196C23"/>
    <w:rsid w:val="001A1F6A"/>
    <w:rsid w:val="001B2285"/>
    <w:rsid w:val="001B686D"/>
    <w:rsid w:val="001B77F5"/>
    <w:rsid w:val="001C29C7"/>
    <w:rsid w:val="001C3182"/>
    <w:rsid w:val="001C669B"/>
    <w:rsid w:val="001D0910"/>
    <w:rsid w:val="001D449F"/>
    <w:rsid w:val="001D46EB"/>
    <w:rsid w:val="001D51B9"/>
    <w:rsid w:val="001D7C52"/>
    <w:rsid w:val="001E186A"/>
    <w:rsid w:val="001E330F"/>
    <w:rsid w:val="001E4522"/>
    <w:rsid w:val="00203D4D"/>
    <w:rsid w:val="002043BF"/>
    <w:rsid w:val="002059A6"/>
    <w:rsid w:val="00214360"/>
    <w:rsid w:val="00222533"/>
    <w:rsid w:val="002347F6"/>
    <w:rsid w:val="002400A6"/>
    <w:rsid w:val="00244749"/>
    <w:rsid w:val="00247A45"/>
    <w:rsid w:val="002523AE"/>
    <w:rsid w:val="002539BF"/>
    <w:rsid w:val="00253C57"/>
    <w:rsid w:val="00256C94"/>
    <w:rsid w:val="00267582"/>
    <w:rsid w:val="00270520"/>
    <w:rsid w:val="00280C82"/>
    <w:rsid w:val="00287CFD"/>
    <w:rsid w:val="00291D0C"/>
    <w:rsid w:val="0029343A"/>
    <w:rsid w:val="002966A9"/>
    <w:rsid w:val="002968F3"/>
    <w:rsid w:val="002A0353"/>
    <w:rsid w:val="002A7208"/>
    <w:rsid w:val="002B258F"/>
    <w:rsid w:val="002B6089"/>
    <w:rsid w:val="002C11E6"/>
    <w:rsid w:val="002D1714"/>
    <w:rsid w:val="002D224F"/>
    <w:rsid w:val="002D42BF"/>
    <w:rsid w:val="002D7D5E"/>
    <w:rsid w:val="002E0709"/>
    <w:rsid w:val="002E233F"/>
    <w:rsid w:val="002E32D9"/>
    <w:rsid w:val="002E743F"/>
    <w:rsid w:val="002F1A02"/>
    <w:rsid w:val="002F3EE2"/>
    <w:rsid w:val="002F5189"/>
    <w:rsid w:val="002F6ED5"/>
    <w:rsid w:val="002F7A3B"/>
    <w:rsid w:val="0030771E"/>
    <w:rsid w:val="00313C7A"/>
    <w:rsid w:val="00320475"/>
    <w:rsid w:val="003262A8"/>
    <w:rsid w:val="00344C41"/>
    <w:rsid w:val="0035171C"/>
    <w:rsid w:val="00362261"/>
    <w:rsid w:val="0036356A"/>
    <w:rsid w:val="00364AF5"/>
    <w:rsid w:val="00377520"/>
    <w:rsid w:val="00377925"/>
    <w:rsid w:val="003816E4"/>
    <w:rsid w:val="00383643"/>
    <w:rsid w:val="00391AB2"/>
    <w:rsid w:val="003924E6"/>
    <w:rsid w:val="00395E66"/>
    <w:rsid w:val="00397B54"/>
    <w:rsid w:val="003A2295"/>
    <w:rsid w:val="003B085A"/>
    <w:rsid w:val="003B2204"/>
    <w:rsid w:val="003B487E"/>
    <w:rsid w:val="003B5CE0"/>
    <w:rsid w:val="003B6028"/>
    <w:rsid w:val="003B65DB"/>
    <w:rsid w:val="003B792B"/>
    <w:rsid w:val="003D2BEC"/>
    <w:rsid w:val="003E664B"/>
    <w:rsid w:val="003F0EC1"/>
    <w:rsid w:val="003F0F28"/>
    <w:rsid w:val="003F50DE"/>
    <w:rsid w:val="003F50F6"/>
    <w:rsid w:val="00406D1F"/>
    <w:rsid w:val="00410549"/>
    <w:rsid w:val="00414DE1"/>
    <w:rsid w:val="00416D39"/>
    <w:rsid w:val="00416DF0"/>
    <w:rsid w:val="00430DB0"/>
    <w:rsid w:val="004342F2"/>
    <w:rsid w:val="0044524E"/>
    <w:rsid w:val="004501C9"/>
    <w:rsid w:val="00461486"/>
    <w:rsid w:val="00464E8C"/>
    <w:rsid w:val="004701FF"/>
    <w:rsid w:val="00477C51"/>
    <w:rsid w:val="0048192B"/>
    <w:rsid w:val="00490142"/>
    <w:rsid w:val="004903FE"/>
    <w:rsid w:val="0049061D"/>
    <w:rsid w:val="00495D13"/>
    <w:rsid w:val="00496272"/>
    <w:rsid w:val="004A0EFC"/>
    <w:rsid w:val="004A154F"/>
    <w:rsid w:val="004B04B5"/>
    <w:rsid w:val="004B280B"/>
    <w:rsid w:val="004B7DB8"/>
    <w:rsid w:val="004C66C5"/>
    <w:rsid w:val="004D1238"/>
    <w:rsid w:val="004D2722"/>
    <w:rsid w:val="004D537E"/>
    <w:rsid w:val="004E00A5"/>
    <w:rsid w:val="004E0370"/>
    <w:rsid w:val="004F2298"/>
    <w:rsid w:val="004F4769"/>
    <w:rsid w:val="005036A7"/>
    <w:rsid w:val="005045FB"/>
    <w:rsid w:val="00513446"/>
    <w:rsid w:val="005209B5"/>
    <w:rsid w:val="00532E6D"/>
    <w:rsid w:val="0053717F"/>
    <w:rsid w:val="00537FF9"/>
    <w:rsid w:val="00542294"/>
    <w:rsid w:val="00542899"/>
    <w:rsid w:val="00542DF6"/>
    <w:rsid w:val="005434A4"/>
    <w:rsid w:val="0055193F"/>
    <w:rsid w:val="00552563"/>
    <w:rsid w:val="0055613F"/>
    <w:rsid w:val="00566BF6"/>
    <w:rsid w:val="005671B7"/>
    <w:rsid w:val="005801E5"/>
    <w:rsid w:val="0058064A"/>
    <w:rsid w:val="005949A1"/>
    <w:rsid w:val="00594A5D"/>
    <w:rsid w:val="00595ECF"/>
    <w:rsid w:val="00597A41"/>
    <w:rsid w:val="005B01DB"/>
    <w:rsid w:val="005B3F6E"/>
    <w:rsid w:val="005B6692"/>
    <w:rsid w:val="005D05D9"/>
    <w:rsid w:val="005D7C26"/>
    <w:rsid w:val="005E6602"/>
    <w:rsid w:val="005E7A1C"/>
    <w:rsid w:val="005E7E12"/>
    <w:rsid w:val="005F118A"/>
    <w:rsid w:val="005F6DA4"/>
    <w:rsid w:val="00602B77"/>
    <w:rsid w:val="00606E55"/>
    <w:rsid w:val="006110D2"/>
    <w:rsid w:val="0061765A"/>
    <w:rsid w:val="0062075C"/>
    <w:rsid w:val="00622E3F"/>
    <w:rsid w:val="00623F68"/>
    <w:rsid w:val="006251DA"/>
    <w:rsid w:val="00625C63"/>
    <w:rsid w:val="00631ADA"/>
    <w:rsid w:val="006346DE"/>
    <w:rsid w:val="0063482D"/>
    <w:rsid w:val="00650EBF"/>
    <w:rsid w:val="00657A8E"/>
    <w:rsid w:val="00661BA6"/>
    <w:rsid w:val="006629E3"/>
    <w:rsid w:val="00665295"/>
    <w:rsid w:val="00666BDF"/>
    <w:rsid w:val="0067702C"/>
    <w:rsid w:val="006777E0"/>
    <w:rsid w:val="00684420"/>
    <w:rsid w:val="00694FBF"/>
    <w:rsid w:val="006965BF"/>
    <w:rsid w:val="0069674C"/>
    <w:rsid w:val="006A00A1"/>
    <w:rsid w:val="006A073B"/>
    <w:rsid w:val="006A17E9"/>
    <w:rsid w:val="006A3C2F"/>
    <w:rsid w:val="006B4069"/>
    <w:rsid w:val="006B5E60"/>
    <w:rsid w:val="006C0D44"/>
    <w:rsid w:val="006E1A77"/>
    <w:rsid w:val="006F3D67"/>
    <w:rsid w:val="00701D03"/>
    <w:rsid w:val="00703BC2"/>
    <w:rsid w:val="00707159"/>
    <w:rsid w:val="00710AED"/>
    <w:rsid w:val="00712D7D"/>
    <w:rsid w:val="007167D2"/>
    <w:rsid w:val="00716E96"/>
    <w:rsid w:val="007171DF"/>
    <w:rsid w:val="00717ABE"/>
    <w:rsid w:val="0072090F"/>
    <w:rsid w:val="00732CBF"/>
    <w:rsid w:val="0075285A"/>
    <w:rsid w:val="00755E23"/>
    <w:rsid w:val="00755FEC"/>
    <w:rsid w:val="00757465"/>
    <w:rsid w:val="00761628"/>
    <w:rsid w:val="00767DD6"/>
    <w:rsid w:val="007803D9"/>
    <w:rsid w:val="007863FE"/>
    <w:rsid w:val="0079205C"/>
    <w:rsid w:val="00792893"/>
    <w:rsid w:val="0079388D"/>
    <w:rsid w:val="007951E0"/>
    <w:rsid w:val="00795D8F"/>
    <w:rsid w:val="00796F73"/>
    <w:rsid w:val="007A2F87"/>
    <w:rsid w:val="007B3325"/>
    <w:rsid w:val="007E4057"/>
    <w:rsid w:val="007E7221"/>
    <w:rsid w:val="007F1763"/>
    <w:rsid w:val="007F4DEC"/>
    <w:rsid w:val="007F5B28"/>
    <w:rsid w:val="00804BF9"/>
    <w:rsid w:val="00810161"/>
    <w:rsid w:val="00815241"/>
    <w:rsid w:val="00817914"/>
    <w:rsid w:val="008203FE"/>
    <w:rsid w:val="00820441"/>
    <w:rsid w:val="00820B9B"/>
    <w:rsid w:val="008225F6"/>
    <w:rsid w:val="00823024"/>
    <w:rsid w:val="0082534A"/>
    <w:rsid w:val="008310FC"/>
    <w:rsid w:val="00833FE6"/>
    <w:rsid w:val="008412A7"/>
    <w:rsid w:val="00845EC4"/>
    <w:rsid w:val="0084744A"/>
    <w:rsid w:val="00850860"/>
    <w:rsid w:val="00850BD9"/>
    <w:rsid w:val="00851935"/>
    <w:rsid w:val="00864695"/>
    <w:rsid w:val="00864E3F"/>
    <w:rsid w:val="00865B27"/>
    <w:rsid w:val="00870FB9"/>
    <w:rsid w:val="0087257C"/>
    <w:rsid w:val="0088354D"/>
    <w:rsid w:val="0089003B"/>
    <w:rsid w:val="00890F48"/>
    <w:rsid w:val="0089219F"/>
    <w:rsid w:val="00895365"/>
    <w:rsid w:val="0089741D"/>
    <w:rsid w:val="008A2964"/>
    <w:rsid w:val="008B065A"/>
    <w:rsid w:val="008B360C"/>
    <w:rsid w:val="008B362F"/>
    <w:rsid w:val="008B6001"/>
    <w:rsid w:val="008B761A"/>
    <w:rsid w:val="008B7D6F"/>
    <w:rsid w:val="008C65C4"/>
    <w:rsid w:val="008D45BC"/>
    <w:rsid w:val="008D4ABD"/>
    <w:rsid w:val="00902938"/>
    <w:rsid w:val="00906597"/>
    <w:rsid w:val="009101B4"/>
    <w:rsid w:val="00912DFB"/>
    <w:rsid w:val="00917EC9"/>
    <w:rsid w:val="00923528"/>
    <w:rsid w:val="009305D8"/>
    <w:rsid w:val="00932E90"/>
    <w:rsid w:val="00936BB2"/>
    <w:rsid w:val="0096622C"/>
    <w:rsid w:val="0098188D"/>
    <w:rsid w:val="00995433"/>
    <w:rsid w:val="0099604D"/>
    <w:rsid w:val="009B0405"/>
    <w:rsid w:val="009B6EEF"/>
    <w:rsid w:val="009C3BB4"/>
    <w:rsid w:val="009E4C49"/>
    <w:rsid w:val="009F580E"/>
    <w:rsid w:val="009F5B7F"/>
    <w:rsid w:val="00A06A34"/>
    <w:rsid w:val="00A26B7C"/>
    <w:rsid w:val="00A2771F"/>
    <w:rsid w:val="00A27965"/>
    <w:rsid w:val="00A37CAA"/>
    <w:rsid w:val="00A37D26"/>
    <w:rsid w:val="00A4477D"/>
    <w:rsid w:val="00A463DF"/>
    <w:rsid w:val="00A552A8"/>
    <w:rsid w:val="00A748E1"/>
    <w:rsid w:val="00A8163D"/>
    <w:rsid w:val="00A91F8F"/>
    <w:rsid w:val="00A93423"/>
    <w:rsid w:val="00A9346B"/>
    <w:rsid w:val="00AB09BE"/>
    <w:rsid w:val="00AB22EA"/>
    <w:rsid w:val="00AB371B"/>
    <w:rsid w:val="00AC2D55"/>
    <w:rsid w:val="00AC38C5"/>
    <w:rsid w:val="00AF0293"/>
    <w:rsid w:val="00AF0809"/>
    <w:rsid w:val="00AF115D"/>
    <w:rsid w:val="00AF342B"/>
    <w:rsid w:val="00AF65FF"/>
    <w:rsid w:val="00B0035E"/>
    <w:rsid w:val="00B34DAE"/>
    <w:rsid w:val="00B43621"/>
    <w:rsid w:val="00B438F4"/>
    <w:rsid w:val="00B45D2F"/>
    <w:rsid w:val="00B51017"/>
    <w:rsid w:val="00B52690"/>
    <w:rsid w:val="00B5379F"/>
    <w:rsid w:val="00B540F1"/>
    <w:rsid w:val="00B627FB"/>
    <w:rsid w:val="00B64FD5"/>
    <w:rsid w:val="00B825F0"/>
    <w:rsid w:val="00B915EE"/>
    <w:rsid w:val="00B92B64"/>
    <w:rsid w:val="00B94C48"/>
    <w:rsid w:val="00B97326"/>
    <w:rsid w:val="00B97822"/>
    <w:rsid w:val="00BA0193"/>
    <w:rsid w:val="00BA14F2"/>
    <w:rsid w:val="00BA3407"/>
    <w:rsid w:val="00BA41C8"/>
    <w:rsid w:val="00BA501F"/>
    <w:rsid w:val="00BB2F5B"/>
    <w:rsid w:val="00BC616C"/>
    <w:rsid w:val="00BC6EE1"/>
    <w:rsid w:val="00BF23DE"/>
    <w:rsid w:val="00BF5AE0"/>
    <w:rsid w:val="00C22776"/>
    <w:rsid w:val="00C261B6"/>
    <w:rsid w:val="00C32E24"/>
    <w:rsid w:val="00C357D2"/>
    <w:rsid w:val="00C504DB"/>
    <w:rsid w:val="00C55B01"/>
    <w:rsid w:val="00C5613C"/>
    <w:rsid w:val="00C57E6A"/>
    <w:rsid w:val="00C63E53"/>
    <w:rsid w:val="00C703A7"/>
    <w:rsid w:val="00C71356"/>
    <w:rsid w:val="00C74904"/>
    <w:rsid w:val="00C8091E"/>
    <w:rsid w:val="00C82A5A"/>
    <w:rsid w:val="00C840DC"/>
    <w:rsid w:val="00C843F9"/>
    <w:rsid w:val="00C86938"/>
    <w:rsid w:val="00C90DF9"/>
    <w:rsid w:val="00CA2435"/>
    <w:rsid w:val="00CA48AA"/>
    <w:rsid w:val="00CA5F21"/>
    <w:rsid w:val="00CA6DD5"/>
    <w:rsid w:val="00CB1996"/>
    <w:rsid w:val="00CC7997"/>
    <w:rsid w:val="00CD11B5"/>
    <w:rsid w:val="00CD2E64"/>
    <w:rsid w:val="00CF75BB"/>
    <w:rsid w:val="00D02AB2"/>
    <w:rsid w:val="00D05F99"/>
    <w:rsid w:val="00D33A81"/>
    <w:rsid w:val="00D33F63"/>
    <w:rsid w:val="00D347D1"/>
    <w:rsid w:val="00D43F9C"/>
    <w:rsid w:val="00D46F23"/>
    <w:rsid w:val="00D47FC0"/>
    <w:rsid w:val="00D61788"/>
    <w:rsid w:val="00D645C2"/>
    <w:rsid w:val="00D81DF7"/>
    <w:rsid w:val="00D82F18"/>
    <w:rsid w:val="00D85BF9"/>
    <w:rsid w:val="00D87F8D"/>
    <w:rsid w:val="00D903F9"/>
    <w:rsid w:val="00D90BEE"/>
    <w:rsid w:val="00D91D82"/>
    <w:rsid w:val="00D9432E"/>
    <w:rsid w:val="00D96CF4"/>
    <w:rsid w:val="00D96E80"/>
    <w:rsid w:val="00DB11A9"/>
    <w:rsid w:val="00DB3560"/>
    <w:rsid w:val="00DC27C8"/>
    <w:rsid w:val="00DC3AF4"/>
    <w:rsid w:val="00DC687C"/>
    <w:rsid w:val="00DD4206"/>
    <w:rsid w:val="00DD43C5"/>
    <w:rsid w:val="00DE1822"/>
    <w:rsid w:val="00DF0B5F"/>
    <w:rsid w:val="00DF1F1D"/>
    <w:rsid w:val="00DF3DAB"/>
    <w:rsid w:val="00DF5802"/>
    <w:rsid w:val="00E0567C"/>
    <w:rsid w:val="00E105CE"/>
    <w:rsid w:val="00E11388"/>
    <w:rsid w:val="00E117CD"/>
    <w:rsid w:val="00E1340B"/>
    <w:rsid w:val="00E25545"/>
    <w:rsid w:val="00E3051F"/>
    <w:rsid w:val="00E31A83"/>
    <w:rsid w:val="00E40D97"/>
    <w:rsid w:val="00E453AE"/>
    <w:rsid w:val="00E51F7B"/>
    <w:rsid w:val="00E52948"/>
    <w:rsid w:val="00E64AEB"/>
    <w:rsid w:val="00E64F41"/>
    <w:rsid w:val="00E71631"/>
    <w:rsid w:val="00E71AFC"/>
    <w:rsid w:val="00E7250B"/>
    <w:rsid w:val="00E72C5E"/>
    <w:rsid w:val="00E8091A"/>
    <w:rsid w:val="00E96B2B"/>
    <w:rsid w:val="00E97CDC"/>
    <w:rsid w:val="00EA4ACB"/>
    <w:rsid w:val="00EA7E9E"/>
    <w:rsid w:val="00EB59F5"/>
    <w:rsid w:val="00EB6056"/>
    <w:rsid w:val="00EC104A"/>
    <w:rsid w:val="00EC2C21"/>
    <w:rsid w:val="00ED3C2E"/>
    <w:rsid w:val="00ED47D1"/>
    <w:rsid w:val="00ED59EB"/>
    <w:rsid w:val="00ED7CC6"/>
    <w:rsid w:val="00EE0E98"/>
    <w:rsid w:val="00EE23AA"/>
    <w:rsid w:val="00EF0EDC"/>
    <w:rsid w:val="00EF1D2E"/>
    <w:rsid w:val="00EF479B"/>
    <w:rsid w:val="00EF678A"/>
    <w:rsid w:val="00F00FDE"/>
    <w:rsid w:val="00F02187"/>
    <w:rsid w:val="00F023F8"/>
    <w:rsid w:val="00F02BA5"/>
    <w:rsid w:val="00F073C5"/>
    <w:rsid w:val="00F079E5"/>
    <w:rsid w:val="00F25EFC"/>
    <w:rsid w:val="00F42621"/>
    <w:rsid w:val="00F463EF"/>
    <w:rsid w:val="00F521B6"/>
    <w:rsid w:val="00F54D70"/>
    <w:rsid w:val="00F567D6"/>
    <w:rsid w:val="00F604EA"/>
    <w:rsid w:val="00F67638"/>
    <w:rsid w:val="00F838E2"/>
    <w:rsid w:val="00F83BB0"/>
    <w:rsid w:val="00F85377"/>
    <w:rsid w:val="00F965A3"/>
    <w:rsid w:val="00FA154E"/>
    <w:rsid w:val="00FB199E"/>
    <w:rsid w:val="00FC49C6"/>
    <w:rsid w:val="00FC5849"/>
    <w:rsid w:val="00FC5D6F"/>
    <w:rsid w:val="00FC7E51"/>
    <w:rsid w:val="00FD68FE"/>
    <w:rsid w:val="00FD718E"/>
    <w:rsid w:val="00FD7331"/>
    <w:rsid w:val="00FE3C3E"/>
    <w:rsid w:val="00FF0BCC"/>
    <w:rsid w:val="00FF7D7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313CC"/>
  <w15:chartTrackingRefBased/>
  <w15:docId w15:val="{B650AF67-44DA-8344-8377-07E23F61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11" w:qFormat="1"/>
    <w:lsdException w:name="heading 5" w:semiHidden="1" w:uiPriority="11" w:qFormat="1"/>
    <w:lsdException w:name="heading 6" w:semiHidden="1" w:uiPriority="11" w:qFormat="1"/>
    <w:lsdException w:name="heading 7" w:semiHidden="1" w:uiPriority="11" w:qFormat="1"/>
    <w:lsdException w:name="heading 8" w:semiHidden="1" w:uiPriority="11" w:qFormat="1"/>
    <w:lsdException w:name="heading 9" w:semiHidden="1" w:uiPriority="1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7"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lsdException w:name="List Number" w:semiHidden="1" w:uiPriority="2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9" w:unhideWhenUsed="1"/>
    <w:lsdException w:name="List Bullet 3" w:semiHidden="1" w:uiPriority="19" w:unhideWhenUsed="1"/>
    <w:lsdException w:name="List Bullet 4" w:semiHidden="1" w:unhideWhenUsed="1"/>
    <w:lsdException w:name="List Bullet 5" w:semiHidden="1"/>
    <w:lsdException w:name="List Number 2" w:semiHidden="1" w:uiPriority="21" w:unhideWhenUsed="1"/>
    <w:lsdException w:name="List Number 3" w:semiHidden="1" w:uiPriority="21" w:unhideWhenUsed="1"/>
    <w:lsdException w:name="List Number 4" w:semiHidden="1"/>
    <w:lsdException w:name="List Number 5" w:semiHidden="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38" w:qFormat="1"/>
    <w:lsdException w:name="Emphasis" w:semiHidden="1" w:uiPriority="3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8" w:qFormat="1"/>
    <w:lsdException w:name="Intense Emphasis" w:semiHidden="1" w:uiPriority="38"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084EF0"/>
    <w:pPr>
      <w:spacing w:after="120" w:line="264" w:lineRule="auto"/>
    </w:pPr>
    <w:rPr>
      <w:sz w:val="20"/>
      <w:lang w:val="en-GB"/>
    </w:rPr>
  </w:style>
  <w:style w:type="paragraph" w:styleId="Heading1">
    <w:name w:val="heading 1"/>
    <w:basedOn w:val="Normal"/>
    <w:next w:val="Normal"/>
    <w:link w:val="Heading1Char"/>
    <w:uiPriority w:val="11"/>
    <w:qFormat/>
    <w:rsid w:val="004D1238"/>
    <w:pPr>
      <w:keepNext/>
      <w:keepLines/>
      <w:spacing w:before="360" w:after="180" w:line="240" w:lineRule="auto"/>
      <w:outlineLvl w:val="0"/>
    </w:pPr>
    <w:rPr>
      <w:rFonts w:asciiTheme="majorHAnsi" w:eastAsiaTheme="majorEastAsia" w:hAnsiTheme="majorHAnsi" w:cs="Arial"/>
      <w:b/>
      <w:color w:val="E3000F" w:themeColor="accent1"/>
      <w:sz w:val="32"/>
      <w:szCs w:val="28"/>
    </w:rPr>
  </w:style>
  <w:style w:type="paragraph" w:styleId="Heading2">
    <w:name w:val="heading 2"/>
    <w:basedOn w:val="Normal"/>
    <w:next w:val="Normal"/>
    <w:link w:val="Heading2Char"/>
    <w:uiPriority w:val="11"/>
    <w:qFormat/>
    <w:rsid w:val="004D1238"/>
    <w:pPr>
      <w:keepNext/>
      <w:keepLines/>
      <w:spacing w:before="300" w:after="180" w:line="240" w:lineRule="auto"/>
      <w:outlineLvl w:val="1"/>
    </w:pPr>
    <w:rPr>
      <w:rFonts w:asciiTheme="majorHAnsi" w:hAnsiTheme="majorHAnsi" w:cs="Arial"/>
      <w:b/>
      <w:color w:val="9C2B42" w:themeColor="accent2"/>
      <w:sz w:val="28"/>
      <w:szCs w:val="24"/>
    </w:rPr>
  </w:style>
  <w:style w:type="paragraph" w:styleId="Heading3">
    <w:name w:val="heading 3"/>
    <w:basedOn w:val="Normal"/>
    <w:next w:val="Normal"/>
    <w:link w:val="Heading3Char"/>
    <w:uiPriority w:val="11"/>
    <w:qFormat/>
    <w:rsid w:val="00E453AE"/>
    <w:pPr>
      <w:keepNext/>
      <w:keepLines/>
      <w:spacing w:before="300" w:line="240" w:lineRule="auto"/>
      <w:outlineLvl w:val="2"/>
    </w:pPr>
    <w:rPr>
      <w:rFonts w:asciiTheme="majorHAnsi" w:hAnsiTheme="majorHAnsi" w:cs="Arial"/>
      <w:b/>
      <w:color w:val="9C2B42" w:themeColor="accent2"/>
      <w:sz w:val="24"/>
      <w:szCs w:val="24"/>
    </w:rPr>
  </w:style>
  <w:style w:type="paragraph" w:styleId="Heading4">
    <w:name w:val="heading 4"/>
    <w:basedOn w:val="Normal"/>
    <w:next w:val="Normal"/>
    <w:link w:val="Heading4Char"/>
    <w:uiPriority w:val="11"/>
    <w:qFormat/>
    <w:rsid w:val="00E453AE"/>
    <w:pPr>
      <w:keepNext/>
      <w:keepLines/>
      <w:spacing w:before="240" w:line="240" w:lineRule="auto"/>
      <w:outlineLvl w:val="3"/>
    </w:pPr>
    <w:rPr>
      <w:rFonts w:asciiTheme="majorHAnsi" w:eastAsiaTheme="majorEastAsia" w:hAnsiTheme="majorHAnsi" w:cstheme="majorBidi"/>
      <w:b/>
      <w:iCs/>
      <w:color w:val="9C2B42"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semiHidden/>
    <w:qFormat/>
    <w:rsid w:val="00864695"/>
    <w:pPr>
      <w:ind w:left="284" w:hanging="284"/>
      <w:contextualSpacing/>
    </w:pPr>
  </w:style>
  <w:style w:type="paragraph" w:styleId="ListBullet">
    <w:name w:val="List Bullet"/>
    <w:basedOn w:val="Normal"/>
    <w:uiPriority w:val="19"/>
    <w:rsid w:val="0010540D"/>
    <w:pPr>
      <w:numPr>
        <w:numId w:val="2"/>
      </w:numPr>
      <w:ind w:left="340" w:hanging="340"/>
      <w:contextualSpacing/>
    </w:pPr>
  </w:style>
  <w:style w:type="paragraph" w:styleId="ListBullet2">
    <w:name w:val="List Bullet 2"/>
    <w:basedOn w:val="Normal"/>
    <w:uiPriority w:val="19"/>
    <w:rsid w:val="006A073B"/>
    <w:pPr>
      <w:numPr>
        <w:numId w:val="3"/>
      </w:numPr>
      <w:ind w:left="680" w:hanging="340"/>
      <w:contextualSpacing/>
    </w:pPr>
  </w:style>
  <w:style w:type="paragraph" w:styleId="ListBullet3">
    <w:name w:val="List Bullet 3"/>
    <w:basedOn w:val="Normal"/>
    <w:uiPriority w:val="19"/>
    <w:rsid w:val="006A073B"/>
    <w:pPr>
      <w:numPr>
        <w:numId w:val="4"/>
      </w:numPr>
      <w:ind w:left="1020" w:hanging="340"/>
      <w:contextualSpacing/>
    </w:pPr>
  </w:style>
  <w:style w:type="paragraph" w:styleId="ListNumber">
    <w:name w:val="List Number"/>
    <w:basedOn w:val="Normal"/>
    <w:uiPriority w:val="21"/>
    <w:rsid w:val="00732CBF"/>
    <w:pPr>
      <w:numPr>
        <w:numId w:val="15"/>
      </w:numPr>
      <w:contextualSpacing/>
    </w:pPr>
  </w:style>
  <w:style w:type="paragraph" w:styleId="ListNumber2">
    <w:name w:val="List Number 2"/>
    <w:basedOn w:val="Normal"/>
    <w:uiPriority w:val="21"/>
    <w:rsid w:val="00732CBF"/>
    <w:pPr>
      <w:numPr>
        <w:ilvl w:val="1"/>
        <w:numId w:val="15"/>
      </w:numPr>
      <w:contextualSpacing/>
    </w:pPr>
  </w:style>
  <w:style w:type="paragraph" w:styleId="ListNumber3">
    <w:name w:val="List Number 3"/>
    <w:basedOn w:val="Normal"/>
    <w:uiPriority w:val="21"/>
    <w:rsid w:val="00732CBF"/>
    <w:pPr>
      <w:numPr>
        <w:ilvl w:val="2"/>
        <w:numId w:val="15"/>
      </w:numPr>
      <w:contextualSpacing/>
    </w:pPr>
  </w:style>
  <w:style w:type="numbering" w:customStyle="1" w:styleId="ListNumber3level">
    <w:name w:val="List Number (3 level)"/>
    <w:basedOn w:val="NoList"/>
    <w:uiPriority w:val="99"/>
    <w:rsid w:val="00732CBF"/>
    <w:pPr>
      <w:numPr>
        <w:numId w:val="15"/>
      </w:numPr>
    </w:pPr>
  </w:style>
  <w:style w:type="paragraph" w:styleId="ListContinue">
    <w:name w:val="List Continue"/>
    <w:basedOn w:val="Normal"/>
    <w:uiPriority w:val="99"/>
    <w:semiHidden/>
    <w:rsid w:val="00D347D1"/>
    <w:pPr>
      <w:ind w:left="283"/>
      <w:contextualSpacing/>
    </w:pPr>
  </w:style>
  <w:style w:type="paragraph" w:styleId="Header">
    <w:name w:val="header"/>
    <w:basedOn w:val="Normal"/>
    <w:link w:val="HeaderChar"/>
    <w:uiPriority w:val="29"/>
    <w:unhideWhenUsed/>
    <w:rsid w:val="007F1763"/>
    <w:pPr>
      <w:spacing w:after="0"/>
    </w:pPr>
    <w:rPr>
      <w:sz w:val="16"/>
      <w:szCs w:val="16"/>
    </w:rPr>
  </w:style>
  <w:style w:type="character" w:customStyle="1" w:styleId="HeaderChar">
    <w:name w:val="Header Char"/>
    <w:basedOn w:val="DefaultParagraphFont"/>
    <w:link w:val="Header"/>
    <w:uiPriority w:val="29"/>
    <w:rsid w:val="007F1763"/>
    <w:rPr>
      <w:rFonts w:ascii="Inter" w:hAnsi="Inter"/>
      <w:sz w:val="16"/>
      <w:szCs w:val="16"/>
      <w:lang w:val="en-GB"/>
    </w:rPr>
  </w:style>
  <w:style w:type="paragraph" w:styleId="Footer">
    <w:name w:val="footer"/>
    <w:basedOn w:val="Normal"/>
    <w:link w:val="FooterChar"/>
    <w:uiPriority w:val="99"/>
    <w:unhideWhenUsed/>
    <w:rsid w:val="00D82F18"/>
    <w:pPr>
      <w:pBdr>
        <w:top w:val="single" w:sz="4" w:space="6" w:color="E3000F" w:themeColor="accent1"/>
      </w:pBdr>
      <w:tabs>
        <w:tab w:val="right" w:pos="9638"/>
      </w:tabs>
      <w:spacing w:after="0"/>
    </w:pPr>
    <w:rPr>
      <w:noProof/>
      <w:sz w:val="16"/>
      <w:szCs w:val="14"/>
    </w:rPr>
  </w:style>
  <w:style w:type="character" w:customStyle="1" w:styleId="FooterChar">
    <w:name w:val="Footer Char"/>
    <w:basedOn w:val="DefaultParagraphFont"/>
    <w:link w:val="Footer"/>
    <w:uiPriority w:val="99"/>
    <w:rsid w:val="00D82F18"/>
    <w:rPr>
      <w:rFonts w:ascii="Inter" w:hAnsi="Inter"/>
      <w:noProof/>
      <w:sz w:val="16"/>
      <w:szCs w:val="14"/>
      <w:lang w:val="en-GB"/>
    </w:rPr>
  </w:style>
  <w:style w:type="table" w:styleId="TableGrid">
    <w:name w:val="Table Grid"/>
    <w:basedOn w:val="TableNormal"/>
    <w:uiPriority w:val="39"/>
    <w:rsid w:val="0027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uiPriority w:val="99"/>
    <w:semiHidden/>
    <w:rsid w:val="00270520"/>
    <w:pPr>
      <w:numPr>
        <w:numId w:val="5"/>
      </w:numPr>
      <w:contextualSpacing/>
    </w:pPr>
  </w:style>
  <w:style w:type="character" w:customStyle="1" w:styleId="Heading1Char">
    <w:name w:val="Heading 1 Char"/>
    <w:basedOn w:val="DefaultParagraphFont"/>
    <w:link w:val="Heading1"/>
    <w:uiPriority w:val="11"/>
    <w:rsid w:val="004D1238"/>
    <w:rPr>
      <w:rFonts w:asciiTheme="majorHAnsi" w:eastAsiaTheme="majorEastAsia" w:hAnsiTheme="majorHAnsi" w:cs="Arial"/>
      <w:b/>
      <w:color w:val="E3000F" w:themeColor="accent1"/>
      <w:sz w:val="32"/>
      <w:szCs w:val="28"/>
      <w:lang w:val="en-GB"/>
    </w:rPr>
  </w:style>
  <w:style w:type="character" w:customStyle="1" w:styleId="Heading2Char">
    <w:name w:val="Heading 2 Char"/>
    <w:basedOn w:val="DefaultParagraphFont"/>
    <w:link w:val="Heading2"/>
    <w:uiPriority w:val="11"/>
    <w:rsid w:val="004D1238"/>
    <w:rPr>
      <w:rFonts w:asciiTheme="majorHAnsi" w:hAnsiTheme="majorHAnsi" w:cs="Arial"/>
      <w:b/>
      <w:color w:val="9C2B42" w:themeColor="accent2"/>
      <w:sz w:val="28"/>
      <w:szCs w:val="24"/>
      <w:lang w:val="en-GB"/>
    </w:rPr>
  </w:style>
  <w:style w:type="character" w:customStyle="1" w:styleId="Heading3Char">
    <w:name w:val="Heading 3 Char"/>
    <w:basedOn w:val="DefaultParagraphFont"/>
    <w:link w:val="Heading3"/>
    <w:uiPriority w:val="11"/>
    <w:rsid w:val="00E453AE"/>
    <w:rPr>
      <w:rFonts w:asciiTheme="majorHAnsi" w:hAnsiTheme="majorHAnsi" w:cs="Arial"/>
      <w:b/>
      <w:color w:val="9C2B42" w:themeColor="accent2"/>
      <w:sz w:val="24"/>
      <w:szCs w:val="24"/>
      <w:lang w:val="en-GB"/>
    </w:rPr>
  </w:style>
  <w:style w:type="paragraph" w:customStyle="1" w:styleId="Heading1Itemmanual">
    <w:name w:val="Heading 1 Item (manual)"/>
    <w:basedOn w:val="Heading1"/>
    <w:next w:val="Normal"/>
    <w:uiPriority w:val="16"/>
    <w:rsid w:val="00755FEC"/>
    <w:pPr>
      <w:tabs>
        <w:tab w:val="left" w:pos="1701"/>
      </w:tabs>
      <w:ind w:left="1588" w:hanging="1588"/>
    </w:pPr>
  </w:style>
  <w:style w:type="paragraph" w:customStyle="1" w:styleId="Heading1Number">
    <w:name w:val="Heading 1 Number"/>
    <w:basedOn w:val="Heading1"/>
    <w:next w:val="Normal"/>
    <w:uiPriority w:val="13"/>
    <w:qFormat/>
    <w:rsid w:val="009B0405"/>
    <w:pPr>
      <w:numPr>
        <w:numId w:val="19"/>
      </w:numPr>
    </w:pPr>
  </w:style>
  <w:style w:type="paragraph" w:customStyle="1" w:styleId="Heading2Number">
    <w:name w:val="Heading 2 Number"/>
    <w:basedOn w:val="Heading2"/>
    <w:next w:val="Normal"/>
    <w:uiPriority w:val="13"/>
    <w:qFormat/>
    <w:rsid w:val="009B0405"/>
    <w:pPr>
      <w:numPr>
        <w:ilvl w:val="1"/>
        <w:numId w:val="19"/>
      </w:numPr>
    </w:pPr>
  </w:style>
  <w:style w:type="paragraph" w:customStyle="1" w:styleId="Heading3Number">
    <w:name w:val="Heading 3 Number"/>
    <w:basedOn w:val="Heading3"/>
    <w:next w:val="Normal"/>
    <w:uiPriority w:val="13"/>
    <w:qFormat/>
    <w:rsid w:val="009B0405"/>
    <w:pPr>
      <w:numPr>
        <w:ilvl w:val="2"/>
        <w:numId w:val="19"/>
      </w:numPr>
    </w:pPr>
  </w:style>
  <w:style w:type="numbering" w:customStyle="1" w:styleId="HeadingNumber4level">
    <w:name w:val="Heading Number (4 level)"/>
    <w:basedOn w:val="NoList"/>
    <w:uiPriority w:val="99"/>
    <w:rsid w:val="009B0405"/>
    <w:pPr>
      <w:numPr>
        <w:numId w:val="19"/>
      </w:numPr>
    </w:pPr>
  </w:style>
  <w:style w:type="paragraph" w:customStyle="1" w:styleId="Heading1Item">
    <w:name w:val="Heading 1 Item"/>
    <w:basedOn w:val="Heading1"/>
    <w:next w:val="Normal"/>
    <w:uiPriority w:val="15"/>
    <w:qFormat/>
    <w:rsid w:val="00755FEC"/>
    <w:pPr>
      <w:numPr>
        <w:numId w:val="21"/>
      </w:numPr>
    </w:pPr>
  </w:style>
  <w:style w:type="paragraph" w:customStyle="1" w:styleId="Heading2Item">
    <w:name w:val="Heading 2 Item"/>
    <w:basedOn w:val="Heading2"/>
    <w:next w:val="Normal"/>
    <w:uiPriority w:val="15"/>
    <w:qFormat/>
    <w:rsid w:val="00755FEC"/>
    <w:pPr>
      <w:numPr>
        <w:ilvl w:val="1"/>
        <w:numId w:val="21"/>
      </w:numPr>
    </w:pPr>
  </w:style>
  <w:style w:type="numbering" w:customStyle="1" w:styleId="HeadingItem2level">
    <w:name w:val="Heading Item (2 level)"/>
    <w:basedOn w:val="NoList"/>
    <w:uiPriority w:val="99"/>
    <w:rsid w:val="00755FEC"/>
    <w:pPr>
      <w:numPr>
        <w:numId w:val="21"/>
      </w:numPr>
    </w:pPr>
  </w:style>
  <w:style w:type="paragraph" w:customStyle="1" w:styleId="SplitLine">
    <w:name w:val="Split Line"/>
    <w:next w:val="Normal"/>
    <w:uiPriority w:val="2"/>
    <w:qFormat/>
    <w:rsid w:val="00E52948"/>
    <w:pPr>
      <w:pBdr>
        <w:bottom w:val="single" w:sz="4" w:space="0" w:color="auto"/>
      </w:pBdr>
      <w:spacing w:after="120" w:line="264" w:lineRule="auto"/>
      <w:ind w:left="2835" w:right="2835"/>
      <w:jc w:val="center"/>
    </w:pPr>
    <w:rPr>
      <w:sz w:val="20"/>
      <w:lang w:val="en-GB"/>
    </w:rPr>
  </w:style>
  <w:style w:type="paragraph" w:styleId="FootnoteText">
    <w:name w:val="footnote text"/>
    <w:basedOn w:val="Normal"/>
    <w:link w:val="FootnoteTextChar"/>
    <w:uiPriority w:val="27"/>
    <w:rsid w:val="002059A6"/>
    <w:pPr>
      <w:spacing w:after="80"/>
    </w:pPr>
    <w:rPr>
      <w:sz w:val="16"/>
      <w:szCs w:val="20"/>
    </w:rPr>
  </w:style>
  <w:style w:type="character" w:customStyle="1" w:styleId="FootnoteTextChar">
    <w:name w:val="Footnote Text Char"/>
    <w:basedOn w:val="DefaultParagraphFont"/>
    <w:link w:val="FootnoteText"/>
    <w:uiPriority w:val="27"/>
    <w:rsid w:val="002059A6"/>
    <w:rPr>
      <w:rFonts w:ascii="Inter" w:hAnsi="Inter"/>
      <w:sz w:val="16"/>
      <w:szCs w:val="20"/>
      <w:lang w:val="en-GB"/>
    </w:rPr>
  </w:style>
  <w:style w:type="character" w:styleId="FootnoteReference">
    <w:name w:val="footnote reference"/>
    <w:basedOn w:val="DefaultParagraphFont"/>
    <w:uiPriority w:val="99"/>
    <w:semiHidden/>
    <w:unhideWhenUsed/>
    <w:rsid w:val="00D47FC0"/>
    <w:rPr>
      <w:vertAlign w:val="superscript"/>
    </w:rPr>
  </w:style>
  <w:style w:type="paragraph" w:customStyle="1" w:styleId="NormalSmallwithtab">
    <w:name w:val="Normal Small (withtab)"/>
    <w:basedOn w:val="Normal"/>
    <w:uiPriority w:val="2"/>
    <w:qFormat/>
    <w:rsid w:val="00F02187"/>
    <w:pPr>
      <w:tabs>
        <w:tab w:val="left" w:pos="426"/>
        <w:tab w:val="left" w:pos="4536"/>
      </w:tabs>
      <w:spacing w:after="0"/>
    </w:pPr>
    <w:rPr>
      <w:sz w:val="15"/>
      <w:szCs w:val="18"/>
    </w:rPr>
  </w:style>
  <w:style w:type="paragraph" w:customStyle="1" w:styleId="TitleItemManual">
    <w:name w:val="Title Item (Manual)"/>
    <w:basedOn w:val="Title"/>
    <w:next w:val="Normal"/>
    <w:uiPriority w:val="9"/>
    <w:qFormat/>
    <w:rsid w:val="00755FEC"/>
    <w:pPr>
      <w:ind w:left="1588" w:hanging="1588"/>
    </w:pPr>
  </w:style>
  <w:style w:type="table" w:styleId="PlainTable1">
    <w:name w:val="Plain Table 1"/>
    <w:basedOn w:val="TableNormal"/>
    <w:uiPriority w:val="41"/>
    <w:rsid w:val="0092352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alIndent2">
    <w:name w:val="Normal Indent 2"/>
    <w:basedOn w:val="Normal"/>
    <w:uiPriority w:val="2"/>
    <w:qFormat/>
    <w:rsid w:val="001264FF"/>
    <w:pPr>
      <w:ind w:left="680"/>
    </w:pPr>
  </w:style>
  <w:style w:type="paragraph" w:customStyle="1" w:styleId="NormalIndent3">
    <w:name w:val="Normal Indent 3"/>
    <w:basedOn w:val="Normal"/>
    <w:uiPriority w:val="2"/>
    <w:qFormat/>
    <w:rsid w:val="001264FF"/>
    <w:pPr>
      <w:ind w:left="1021"/>
    </w:pPr>
  </w:style>
  <w:style w:type="paragraph" w:customStyle="1" w:styleId="ListNumber1">
    <w:name w:val="List Number (1)"/>
    <w:basedOn w:val="Normal"/>
    <w:uiPriority w:val="22"/>
    <w:rsid w:val="00E97CDC"/>
    <w:pPr>
      <w:numPr>
        <w:numId w:val="24"/>
      </w:numPr>
    </w:pPr>
  </w:style>
  <w:style w:type="paragraph" w:customStyle="1" w:styleId="ListNumber11">
    <w:name w:val="List Number (1.1)"/>
    <w:basedOn w:val="Normal"/>
    <w:uiPriority w:val="22"/>
    <w:rsid w:val="00E97CDC"/>
    <w:pPr>
      <w:numPr>
        <w:ilvl w:val="1"/>
        <w:numId w:val="24"/>
      </w:numPr>
    </w:pPr>
  </w:style>
  <w:style w:type="numbering" w:customStyle="1" w:styleId="ListNumber112level">
    <w:name w:val="List Number 1.1 (2 level)"/>
    <w:basedOn w:val="NoList"/>
    <w:uiPriority w:val="99"/>
    <w:rsid w:val="00E97CDC"/>
    <w:pPr>
      <w:numPr>
        <w:numId w:val="24"/>
      </w:numPr>
    </w:pPr>
  </w:style>
  <w:style w:type="paragraph" w:customStyle="1" w:styleId="Underline">
    <w:name w:val="Underline"/>
    <w:next w:val="Normal"/>
    <w:uiPriority w:val="2"/>
    <w:qFormat/>
    <w:rsid w:val="00F02187"/>
    <w:pPr>
      <w:pBdr>
        <w:bottom w:val="single" w:sz="4" w:space="1" w:color="auto"/>
      </w:pBdr>
      <w:spacing w:after="120" w:line="264" w:lineRule="auto"/>
    </w:pPr>
    <w:rPr>
      <w:sz w:val="20"/>
      <w:lang w:val="en-GB"/>
    </w:rPr>
  </w:style>
  <w:style w:type="paragraph" w:styleId="Title">
    <w:name w:val="Title"/>
    <w:basedOn w:val="Heading1"/>
    <w:next w:val="Normal"/>
    <w:link w:val="TitleChar"/>
    <w:uiPriority w:val="9"/>
    <w:qFormat/>
    <w:rsid w:val="000C2CEA"/>
    <w:pPr>
      <w:pBdr>
        <w:bottom w:val="single" w:sz="4" w:space="6" w:color="auto"/>
      </w:pBdr>
    </w:pPr>
    <w:rPr>
      <w:caps/>
    </w:rPr>
  </w:style>
  <w:style w:type="character" w:customStyle="1" w:styleId="TitleChar">
    <w:name w:val="Title Char"/>
    <w:basedOn w:val="DefaultParagraphFont"/>
    <w:link w:val="Title"/>
    <w:uiPriority w:val="9"/>
    <w:rsid w:val="000C2CEA"/>
    <w:rPr>
      <w:rFonts w:asciiTheme="majorHAnsi" w:eastAsiaTheme="majorEastAsia" w:hAnsiTheme="majorHAnsi" w:cs="Arial"/>
      <w:b/>
      <w:caps/>
      <w:color w:val="E3000F" w:themeColor="accent1"/>
      <w:sz w:val="32"/>
      <w:szCs w:val="28"/>
      <w:lang w:val="en-GB"/>
    </w:rPr>
  </w:style>
  <w:style w:type="paragraph" w:customStyle="1" w:styleId="ListDash">
    <w:name w:val="List Dash"/>
    <w:basedOn w:val="Normal"/>
    <w:uiPriority w:val="20"/>
    <w:qFormat/>
    <w:rsid w:val="00496272"/>
    <w:pPr>
      <w:numPr>
        <w:numId w:val="26"/>
      </w:numPr>
      <w:ind w:left="340" w:hanging="340"/>
      <w:contextualSpacing/>
    </w:pPr>
  </w:style>
  <w:style w:type="paragraph" w:customStyle="1" w:styleId="NormalIndent1">
    <w:name w:val="Normal Indent 1"/>
    <w:basedOn w:val="Normal"/>
    <w:uiPriority w:val="2"/>
    <w:qFormat/>
    <w:rsid w:val="001264FF"/>
    <w:pPr>
      <w:ind w:left="340"/>
    </w:pPr>
  </w:style>
  <w:style w:type="character" w:styleId="Hyperlink">
    <w:name w:val="Hyperlink"/>
    <w:basedOn w:val="DefaultParagraphFont"/>
    <w:uiPriority w:val="99"/>
    <w:unhideWhenUsed/>
    <w:rsid w:val="00845EC4"/>
    <w:rPr>
      <w:color w:val="E3000F" w:themeColor="hyperlink"/>
      <w:u w:val="none"/>
    </w:rPr>
  </w:style>
  <w:style w:type="character" w:styleId="UnresolvedMention">
    <w:name w:val="Unresolved Mention"/>
    <w:basedOn w:val="DefaultParagraphFont"/>
    <w:uiPriority w:val="99"/>
    <w:semiHidden/>
    <w:unhideWhenUsed/>
    <w:rsid w:val="00845EC4"/>
    <w:rPr>
      <w:color w:val="605E5C"/>
      <w:shd w:val="clear" w:color="auto" w:fill="E1DFDD"/>
    </w:rPr>
  </w:style>
  <w:style w:type="table" w:customStyle="1" w:styleId="ISOTable1">
    <w:name w:val="ISO_Table1"/>
    <w:basedOn w:val="TableNormal"/>
    <w:uiPriority w:val="99"/>
    <w:rsid w:val="000B63D5"/>
    <w:pPr>
      <w:spacing w:after="0" w:line="240" w:lineRule="auto"/>
      <w:jc w:val="center"/>
    </w:pPr>
    <w:rPr>
      <w:sz w:val="20"/>
    </w:rPr>
    <w:tblPr>
      <w:tblStyleRowBandSize w:val="1"/>
      <w:tblBorders>
        <w:insideH w:val="single" w:sz="4" w:space="0" w:color="FFFFFF" w:themeColor="background1"/>
        <w:insideV w:val="single" w:sz="4" w:space="0" w:color="FFFFFF" w:themeColor="background1"/>
      </w:tblBorders>
      <w:tblCellMar>
        <w:top w:w="85" w:type="dxa"/>
        <w:bottom w:w="85" w:type="dxa"/>
      </w:tblCellMar>
    </w:tblPr>
    <w:trPr>
      <w:cantSplit/>
    </w:trPr>
    <w:tcPr>
      <w:shd w:val="clear" w:color="auto" w:fill="auto"/>
      <w:vAlign w:val="center"/>
    </w:tcPr>
    <w:tblStylePr w:type="firstRow">
      <w:pPr>
        <w:wordWrap/>
        <w:jc w:val="center"/>
      </w:pPr>
      <w:rPr>
        <w:rFonts w:asciiTheme="minorHAnsi" w:hAnsiTheme="minorHAnsi"/>
        <w:b/>
        <w:color w:val="FFFFFF" w:themeColor="background1"/>
        <w:sz w:val="20"/>
      </w:rPr>
      <w:tblPr/>
      <w:tcPr>
        <w:shd w:val="clear" w:color="auto" w:fill="9C2B42" w:themeFill="accent2"/>
      </w:tcPr>
    </w:tblStylePr>
    <w:tblStylePr w:type="band1Horz">
      <w:pPr>
        <w:jc w:val="center"/>
      </w:pPr>
      <w:rPr>
        <w:rFonts w:asciiTheme="minorHAnsi" w:hAnsiTheme="minorHAnsi"/>
        <w:sz w:val="20"/>
      </w:rPr>
      <w:tblPr/>
      <w:tcPr>
        <w:shd w:val="clear" w:color="auto" w:fill="F2EAEA" w:themeFill="accent4"/>
      </w:tcPr>
    </w:tblStylePr>
    <w:tblStylePr w:type="band2Horz">
      <w:pPr>
        <w:jc w:val="center"/>
      </w:pPr>
      <w:rPr>
        <w:rFonts w:asciiTheme="minorHAnsi" w:hAnsiTheme="minorHAnsi"/>
        <w:sz w:val="20"/>
      </w:rPr>
      <w:tblPr/>
      <w:tcPr>
        <w:shd w:val="clear" w:color="auto" w:fill="E6D7D7" w:themeFill="accent3"/>
      </w:tcPr>
    </w:tblStylePr>
  </w:style>
  <w:style w:type="table" w:customStyle="1" w:styleId="ISOTable2">
    <w:name w:val="ISO_Table2"/>
    <w:basedOn w:val="TableNormal"/>
    <w:uiPriority w:val="99"/>
    <w:rsid w:val="000B63D5"/>
    <w:pPr>
      <w:spacing w:after="0" w:line="240" w:lineRule="auto"/>
    </w:pPr>
    <w:rPr>
      <w:sz w:val="20"/>
    </w:rPr>
    <w:tblPr>
      <w:tblStyleRowBandSize w:val="1"/>
      <w:tblBorders>
        <w:insideH w:val="single" w:sz="4" w:space="0" w:color="E3000F" w:themeColor="accent1"/>
      </w:tblBorders>
      <w:tblCellMar>
        <w:top w:w="85" w:type="dxa"/>
        <w:bottom w:w="85" w:type="dxa"/>
      </w:tblCellMar>
    </w:tblPr>
    <w:trPr>
      <w:cantSplit/>
    </w:trPr>
    <w:tcPr>
      <w:vAlign w:val="center"/>
    </w:tcPr>
    <w:tblStylePr w:type="firstRow">
      <w:rPr>
        <w:rFonts w:asciiTheme="minorHAnsi" w:hAnsiTheme="minorHAnsi"/>
        <w:b/>
        <w:color w:val="FFFFFF" w:themeColor="background1"/>
        <w:sz w:val="20"/>
      </w:rPr>
      <w:tblPr/>
      <w:tcPr>
        <w:shd w:val="clear" w:color="auto" w:fill="E3000F" w:themeFill="accent1"/>
      </w:tcPr>
    </w:tblStylePr>
    <w:tblStylePr w:type="firstCol">
      <w:rPr>
        <w:rFonts w:asciiTheme="minorHAnsi" w:hAnsiTheme="minorHAnsi"/>
        <w:b/>
        <w:sz w:val="20"/>
      </w:rPr>
    </w:tblStylePr>
    <w:tblStylePr w:type="band1Horz">
      <w:rPr>
        <w:rFonts w:asciiTheme="minorHAnsi" w:hAnsiTheme="minorHAnsi"/>
        <w:sz w:val="20"/>
      </w:rPr>
      <w:tblPr/>
      <w:tcPr>
        <w:tcBorders>
          <w:insideH w:val="nil"/>
        </w:tcBorders>
      </w:tcPr>
    </w:tblStylePr>
    <w:tblStylePr w:type="band2Horz">
      <w:rPr>
        <w:rFonts w:asciiTheme="minorHAnsi" w:hAnsiTheme="minorHAnsi"/>
        <w:sz w:val="20"/>
      </w:rPr>
    </w:tblStylePr>
  </w:style>
  <w:style w:type="character" w:customStyle="1" w:styleId="Heading4Char">
    <w:name w:val="Heading 4 Char"/>
    <w:basedOn w:val="DefaultParagraphFont"/>
    <w:link w:val="Heading4"/>
    <w:uiPriority w:val="11"/>
    <w:rsid w:val="00E453AE"/>
    <w:rPr>
      <w:rFonts w:asciiTheme="majorHAnsi" w:eastAsiaTheme="majorEastAsia" w:hAnsiTheme="majorHAnsi" w:cstheme="majorBidi"/>
      <w:b/>
      <w:iCs/>
      <w:color w:val="9C2B42" w:themeColor="accent2"/>
      <w:sz w:val="20"/>
      <w:lang w:val="en-GB"/>
    </w:rPr>
  </w:style>
  <w:style w:type="paragraph" w:customStyle="1" w:styleId="Heading4Number">
    <w:name w:val="Heading 4 Number"/>
    <w:basedOn w:val="Heading4"/>
    <w:next w:val="Normal"/>
    <w:uiPriority w:val="13"/>
    <w:qFormat/>
    <w:rsid w:val="009B0405"/>
    <w:pPr>
      <w:numPr>
        <w:ilvl w:val="3"/>
        <w:numId w:val="19"/>
      </w:numPr>
    </w:pPr>
  </w:style>
  <w:style w:type="paragraph" w:customStyle="1" w:styleId="NormalNoSpace">
    <w:name w:val="Normal NoSpace"/>
    <w:basedOn w:val="Normal"/>
    <w:uiPriority w:val="2"/>
    <w:qFormat/>
    <w:rsid w:val="000B709F"/>
    <w:pPr>
      <w:spacing w:after="0"/>
    </w:pPr>
  </w:style>
  <w:style w:type="table" w:customStyle="1" w:styleId="ISOTable3">
    <w:name w:val="ISO_Table3"/>
    <w:basedOn w:val="TableNormal"/>
    <w:uiPriority w:val="99"/>
    <w:rsid w:val="000B63D5"/>
    <w:pPr>
      <w:spacing w:after="0" w:line="240" w:lineRule="auto"/>
    </w:pPr>
    <w:rPr>
      <w:sz w:val="20"/>
    </w:rPr>
    <w:tblPr>
      <w:tblStyleRowBandSize w:val="1"/>
      <w:tblBorders>
        <w:top w:val="single" w:sz="4" w:space="0" w:color="9C2B42" w:themeColor="accent2"/>
        <w:left w:val="single" w:sz="4" w:space="0" w:color="9C2B42" w:themeColor="accent2"/>
        <w:bottom w:val="single" w:sz="4" w:space="0" w:color="9C2B42" w:themeColor="accent2"/>
        <w:right w:val="single" w:sz="4" w:space="0" w:color="9C2B42" w:themeColor="accent2"/>
        <w:insideH w:val="single" w:sz="4" w:space="0" w:color="9C2B42" w:themeColor="accent2"/>
        <w:insideV w:val="single" w:sz="4" w:space="0" w:color="9C2B42" w:themeColor="accent2"/>
      </w:tblBorders>
      <w:tblCellMar>
        <w:top w:w="85" w:type="dxa"/>
        <w:bottom w:w="85" w:type="dxa"/>
      </w:tblCellMar>
    </w:tblPr>
    <w:trPr>
      <w:cantSplit/>
    </w:trPr>
    <w:tcPr>
      <w:vAlign w:val="center"/>
    </w:tcPr>
    <w:tblStylePr w:type="firstRow">
      <w:rPr>
        <w:rFonts w:asciiTheme="minorHAnsi" w:hAnsiTheme="minorHAnsi"/>
        <w:b/>
        <w:color w:val="FFFFFF" w:themeColor="background1"/>
        <w:sz w:val="20"/>
      </w:rPr>
      <w:tblPr/>
      <w:tcPr>
        <w:tcBorders>
          <w:top w:val="single" w:sz="4" w:space="0" w:color="9C2B42" w:themeColor="accent2"/>
          <w:left w:val="single" w:sz="4" w:space="0" w:color="9C2B42" w:themeColor="accent2"/>
          <w:bottom w:val="nil"/>
          <w:right w:val="single" w:sz="4" w:space="0" w:color="9C2B42" w:themeColor="accent2"/>
          <w:insideH w:val="nil"/>
          <w:insideV w:val="single" w:sz="4" w:space="0" w:color="FFFFFF" w:themeColor="background1"/>
          <w:tl2br w:val="nil"/>
          <w:tr2bl w:val="nil"/>
        </w:tcBorders>
        <w:shd w:val="clear" w:color="auto" w:fill="9C2B42" w:themeFill="accent2"/>
      </w:tcPr>
    </w:tblStylePr>
    <w:tblStylePr w:type="band1Horz">
      <w:rPr>
        <w:rFonts w:asciiTheme="minorHAnsi" w:hAnsiTheme="minorHAnsi"/>
        <w:sz w:val="20"/>
      </w:rPr>
    </w:tblStylePr>
    <w:tblStylePr w:type="band2Horz">
      <w:rPr>
        <w:rFonts w:asciiTheme="minorHAnsi" w:hAnsiTheme="minorHAnsi"/>
        <w:sz w:val="20"/>
      </w:rPr>
    </w:tblStylePr>
  </w:style>
  <w:style w:type="paragraph" w:customStyle="1" w:styleId="HeaderDate">
    <w:name w:val="HeaderDate"/>
    <w:basedOn w:val="Normal"/>
    <w:qFormat/>
    <w:rsid w:val="000C2CEA"/>
    <w:pPr>
      <w:spacing w:after="1440"/>
      <w:jc w:val="right"/>
    </w:pPr>
  </w:style>
  <w:style w:type="paragraph" w:customStyle="1" w:styleId="HeaderReference">
    <w:name w:val="HeaderReference"/>
    <w:basedOn w:val="Normal"/>
    <w:qFormat/>
    <w:rsid w:val="000C2CEA"/>
    <w:pPr>
      <w:spacing w:after="0"/>
      <w:jc w:val="right"/>
    </w:pPr>
  </w:style>
  <w:style w:type="character" w:styleId="FollowedHyperlink">
    <w:name w:val="FollowedHyperlink"/>
    <w:basedOn w:val="DefaultParagraphFont"/>
    <w:uiPriority w:val="99"/>
    <w:semiHidden/>
    <w:unhideWhenUsed/>
    <w:rsid w:val="00EE0E98"/>
    <w:rPr>
      <w:color w:val="E3000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rganizations-in-cooperation-with-iso.htm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so.org/publication/PUB100270.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tnership@iso.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sotc.iso.org/livelink/livelink/Open/19409988"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isogva.sharepoint.com/sites/AssetLibrary/Template/Document%20ISO.dotx" TargetMode="External"/></Relationships>
</file>

<file path=word/theme/theme1.xml><?xml version="1.0" encoding="utf-8"?>
<a:theme xmlns:a="http://schemas.openxmlformats.org/drawingml/2006/main" name="Office Theme">
  <a:themeElements>
    <a:clrScheme name="ISO_New_Color">
      <a:dk1>
        <a:sysClr val="windowText" lastClr="000000"/>
      </a:dk1>
      <a:lt1>
        <a:sysClr val="window" lastClr="FFFFFF"/>
      </a:lt1>
      <a:dk2>
        <a:srgbClr val="000000"/>
      </a:dk2>
      <a:lt2>
        <a:srgbClr val="E7E6E6"/>
      </a:lt2>
      <a:accent1>
        <a:srgbClr val="E3000F"/>
      </a:accent1>
      <a:accent2>
        <a:srgbClr val="9C2B42"/>
      </a:accent2>
      <a:accent3>
        <a:srgbClr val="E6D7D7"/>
      </a:accent3>
      <a:accent4>
        <a:srgbClr val="F2EAEA"/>
      </a:accent4>
      <a:accent5>
        <a:srgbClr val="4B091F"/>
      </a:accent5>
      <a:accent6>
        <a:srgbClr val="58595B"/>
      </a:accent6>
      <a:hlink>
        <a:srgbClr val="E3000F"/>
      </a:hlink>
      <a:folHlink>
        <a:srgbClr val="E3000F"/>
      </a:folHlink>
    </a:clrScheme>
    <a:fontScheme name="01_TitleAndText_Arial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bc0778-b2ef-4fff-b38e-f356b7192932" xsi:nil="true"/>
    <lcf76f155ced4ddcb4097134ff3c332f xmlns="849846e1-bda1-47e0-aa50-8d033053252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461321C1F54446BFD4E987FDA88BEF" ma:contentTypeVersion="18" ma:contentTypeDescription="Create a new document." ma:contentTypeScope="" ma:versionID="23acfe00e61658df59847c70ebc36307">
  <xsd:schema xmlns:xsd="http://www.w3.org/2001/XMLSchema" xmlns:xs="http://www.w3.org/2001/XMLSchema" xmlns:p="http://schemas.microsoft.com/office/2006/metadata/properties" xmlns:ns2="849846e1-bda1-47e0-aa50-8d0330532529" xmlns:ns3="c0bc0778-b2ef-4fff-b38e-f356b7192932" targetNamespace="http://schemas.microsoft.com/office/2006/metadata/properties" ma:root="true" ma:fieldsID="0929f316a90859ba5d39ba733984d44c" ns2:_="" ns3:_="">
    <xsd:import namespace="849846e1-bda1-47e0-aa50-8d0330532529"/>
    <xsd:import namespace="c0bc0778-b2ef-4fff-b38e-f356b7192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846e1-bda1-47e0-aa50-8d0330532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81e856-da4e-4d70-b14e-1ab195ccf8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c0778-b2ef-4fff-b38e-f356b71929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3da1faf-7e35-49ba-97aa-7f8750a83999}" ma:internalName="TaxCatchAll" ma:showField="CatchAllData" ma:web="c0bc0778-b2ef-4fff-b38e-f356b71929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DB82D-5701-4614-B4AB-AB1957B5867C}">
  <ds:schemaRefs>
    <ds:schemaRef ds:uri="http://schemas.openxmlformats.org/officeDocument/2006/bibliography"/>
  </ds:schemaRefs>
</ds:datastoreItem>
</file>

<file path=customXml/itemProps2.xml><?xml version="1.0" encoding="utf-8"?>
<ds:datastoreItem xmlns:ds="http://schemas.openxmlformats.org/officeDocument/2006/customXml" ds:itemID="{C44F1140-8A57-4575-8874-3C35225F9F47}">
  <ds:schemaRefs>
    <ds:schemaRef ds:uri="http://schemas.microsoft.com/sharepoint/v3/contenttype/forms"/>
  </ds:schemaRefs>
</ds:datastoreItem>
</file>

<file path=customXml/itemProps3.xml><?xml version="1.0" encoding="utf-8"?>
<ds:datastoreItem xmlns:ds="http://schemas.openxmlformats.org/officeDocument/2006/customXml" ds:itemID="{50E92196-10F7-4BBF-94CA-86C48D56E199}">
  <ds:schemaRefs>
    <ds:schemaRef ds:uri="http://schemas.microsoft.com/office/2006/metadata/properties"/>
    <ds:schemaRef ds:uri="http://schemas.microsoft.com/office/infopath/2007/PartnerControls"/>
    <ds:schemaRef ds:uri="dd5435dd-6394-47e1-b687-e208692efb2f"/>
    <ds:schemaRef ds:uri="272ce86e-1745-41e9-9226-cfafe24c353b"/>
  </ds:schemaRefs>
</ds:datastoreItem>
</file>

<file path=customXml/itemProps4.xml><?xml version="1.0" encoding="utf-8"?>
<ds:datastoreItem xmlns:ds="http://schemas.openxmlformats.org/officeDocument/2006/customXml" ds:itemID="{359C4B0A-733F-4767-AD4A-1DC4CE1C21AE}"/>
</file>

<file path=docProps/app.xml><?xml version="1.0" encoding="utf-8"?>
<Properties xmlns="http://schemas.openxmlformats.org/officeDocument/2006/extended-properties" xmlns:vt="http://schemas.openxmlformats.org/officeDocument/2006/docPropsVTypes">
  <Template>Document%20ISO.dotx</Template>
  <TotalTime>236</TotalTime>
  <Pages>5</Pages>
  <Words>1651</Words>
  <Characters>9416</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 Zhao</dc:creator>
  <cp:keywords/>
  <dc:description/>
  <cp:lastModifiedBy>ZHAO Lane</cp:lastModifiedBy>
  <cp:revision>12</cp:revision>
  <cp:lastPrinted>2022-11-17T16:39:00Z</cp:lastPrinted>
  <dcterms:created xsi:type="dcterms:W3CDTF">2024-09-24T13:28:00Z</dcterms:created>
  <dcterms:modified xsi:type="dcterms:W3CDTF">2025-01-24T11:58:00Z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0x010100C8461321C1F54446BFD4E987FDA88BEF</vt:lpwstr>
  </property>
  <property fmtid="{D5CDD505-2E9C-101B-9397-08002B2CF9AE}" pid="3" name="MediaServiceImageTags">
    <vt:lpwstr/>
  </property>
</Properties>
</file>