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6E" w:rsidRDefault="00146E6E" w:rsidP="00146E6E">
      <w:pPr>
        <w:tabs>
          <w:tab w:val="left" w:pos="360"/>
          <w:tab w:val="left" w:pos="3060"/>
        </w:tabs>
        <w:jc w:val="center"/>
        <w:rPr>
          <w:rFonts w:ascii="Garamond" w:hAnsi="Garamond"/>
          <w:b/>
          <w:u w:val="single"/>
        </w:rPr>
      </w:pPr>
      <w:bookmarkStart w:id="0" w:name="_GoBack"/>
      <w:bookmarkEnd w:id="0"/>
      <w:r>
        <w:rPr>
          <w:rFonts w:ascii="Garamond" w:hAnsi="Garamond"/>
          <w:b/>
          <w:u w:val="single"/>
        </w:rPr>
        <w:t>CLASS I TOPICAL MEETING</w:t>
      </w:r>
    </w:p>
    <w:p w:rsidR="00146E6E" w:rsidRPr="00146E6E" w:rsidRDefault="00AC32AD" w:rsidP="00146E6E">
      <w:pPr>
        <w:tabs>
          <w:tab w:val="left" w:pos="360"/>
          <w:tab w:val="left" w:pos="3060"/>
        </w:tabs>
        <w:ind w:left="360" w:hanging="36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EXCESS</w:t>
      </w:r>
      <w:r w:rsidR="00146E6E" w:rsidRPr="00EF6251">
        <w:rPr>
          <w:rFonts w:ascii="Garamond" w:hAnsi="Garamond"/>
          <w:b/>
          <w:u w:val="single"/>
        </w:rPr>
        <w:t xml:space="preserve"> REVENUE DISTRIBUTION</w:t>
      </w:r>
      <w:r w:rsidR="00146E6E">
        <w:rPr>
          <w:rFonts w:ascii="Garamond" w:hAnsi="Garamond"/>
          <w:b/>
          <w:u w:val="single"/>
        </w:rPr>
        <w:t xml:space="preserve"> FORM</w:t>
      </w:r>
    </w:p>
    <w:p w:rsidR="00D136BF" w:rsidRDefault="00D136BF" w:rsidP="00D136BF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D136BF" w:rsidRDefault="00D136BF" w:rsidP="00D136BF">
      <w:pPr>
        <w:tabs>
          <w:tab w:val="left" w:pos="360"/>
          <w:tab w:val="left" w:pos="3060"/>
        </w:tabs>
        <w:rPr>
          <w:rFonts w:ascii="Garamond" w:hAnsi="Garamond"/>
        </w:rPr>
      </w:pPr>
      <w:r>
        <w:rPr>
          <w:rFonts w:ascii="Garamond" w:hAnsi="Garamond"/>
        </w:rPr>
        <w:t>A signed copy of this form shall be submitted with the preliminar</w:t>
      </w:r>
      <w:r w:rsidR="000168A9">
        <w:rPr>
          <w:rFonts w:ascii="Garamond" w:hAnsi="Garamond"/>
        </w:rPr>
        <w:t>y topical meeting budget form</w:t>
      </w:r>
      <w:r>
        <w:rPr>
          <w:rFonts w:ascii="Garamond" w:hAnsi="Garamond"/>
        </w:rPr>
        <w:t xml:space="preserve"> to the ANS Director of Meetings.</w:t>
      </w:r>
    </w:p>
    <w:p w:rsidR="00D136BF" w:rsidRDefault="00D136BF" w:rsidP="00D136BF"/>
    <w:p w:rsidR="00146E6E" w:rsidRPr="00EF6251" w:rsidRDefault="00636F4B" w:rsidP="00D136BF">
      <w:pPr>
        <w:tabs>
          <w:tab w:val="left" w:pos="360"/>
          <w:tab w:val="left" w:pos="3060"/>
        </w:tabs>
        <w:rPr>
          <w:rFonts w:ascii="Garamond" w:hAnsi="Garamond"/>
        </w:rPr>
      </w:pPr>
      <w:r>
        <w:rPr>
          <w:rFonts w:ascii="Garamond" w:hAnsi="Garamond"/>
        </w:rPr>
        <w:t xml:space="preserve">Class I </w:t>
      </w:r>
      <w:r w:rsidR="00146E6E" w:rsidRPr="00EF6251">
        <w:rPr>
          <w:rFonts w:ascii="Garamond" w:hAnsi="Garamond"/>
        </w:rPr>
        <w:t>Topical Meeting:</w:t>
      </w:r>
      <w:r w:rsidR="00146E6E">
        <w:rPr>
          <w:rFonts w:ascii="Garamond" w:hAnsi="Garamond"/>
        </w:rPr>
        <w:t xml:space="preserve"> </w:t>
      </w:r>
      <w:r w:rsidR="00146E6E" w:rsidRPr="00EF6251">
        <w:rPr>
          <w:rFonts w:ascii="Garamond" w:hAnsi="Garamond"/>
        </w:rPr>
        <w:t>__________________________________________________</w:t>
      </w:r>
      <w:r w:rsidR="00146E6E">
        <w:rPr>
          <w:rFonts w:ascii="Garamond" w:hAnsi="Garamond"/>
        </w:rPr>
        <w:t>__________</w:t>
      </w:r>
    </w:p>
    <w:p w:rsidR="00146E6E" w:rsidRPr="00EF6251" w:rsidRDefault="00146E6E" w:rsidP="00146E6E">
      <w:pPr>
        <w:tabs>
          <w:tab w:val="left" w:pos="360"/>
          <w:tab w:val="left" w:pos="3060"/>
        </w:tabs>
        <w:ind w:left="360" w:hanging="360"/>
        <w:rPr>
          <w:rFonts w:ascii="Garamond" w:hAnsi="Garamond"/>
        </w:rPr>
      </w:pPr>
    </w:p>
    <w:p w:rsidR="00146E6E" w:rsidRPr="00EF6251" w:rsidRDefault="00146E6E" w:rsidP="00146E6E">
      <w:pPr>
        <w:tabs>
          <w:tab w:val="left" w:pos="360"/>
          <w:tab w:val="left" w:pos="3060"/>
        </w:tabs>
        <w:ind w:left="360" w:hanging="360"/>
        <w:rPr>
          <w:rFonts w:ascii="Garamond" w:hAnsi="Garamond"/>
        </w:rPr>
      </w:pPr>
      <w:r w:rsidRPr="00EF6251">
        <w:rPr>
          <w:rFonts w:ascii="Garamond" w:hAnsi="Garamond"/>
        </w:rPr>
        <w:t>Date of Meeting: ______________________________________________________________</w:t>
      </w:r>
      <w:r>
        <w:rPr>
          <w:rFonts w:ascii="Garamond" w:hAnsi="Garamond"/>
        </w:rPr>
        <w:t>__</w:t>
      </w:r>
    </w:p>
    <w:p w:rsidR="00146E6E" w:rsidRPr="00EF6251" w:rsidRDefault="00146E6E" w:rsidP="00636F4B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  <w:r w:rsidRPr="00EF6251">
        <w:rPr>
          <w:rFonts w:ascii="Garamond" w:hAnsi="Garamond"/>
        </w:rPr>
        <w:t>This is an agreement based on the attached conditions</w:t>
      </w:r>
      <w:r w:rsidR="00177336">
        <w:rPr>
          <w:rFonts w:ascii="Garamond" w:hAnsi="Garamond"/>
        </w:rPr>
        <w:t xml:space="preserve"> and meeting financial plan</w:t>
      </w:r>
      <w:r w:rsidRPr="00EF6251">
        <w:rPr>
          <w:rFonts w:ascii="Garamond" w:hAnsi="Garamond"/>
        </w:rPr>
        <w:t xml:space="preserve"> between the American Nuclear Society Headquarters, the </w:t>
      </w:r>
      <w:r>
        <w:rPr>
          <w:rFonts w:ascii="Garamond" w:hAnsi="Garamond"/>
        </w:rPr>
        <w:t xml:space="preserve">ANS </w:t>
      </w:r>
      <w:r w:rsidRPr="00EF6251">
        <w:rPr>
          <w:rFonts w:ascii="Garamond" w:hAnsi="Garamond"/>
        </w:rPr>
        <w:t>Local Section</w:t>
      </w:r>
      <w:r w:rsidR="00177336">
        <w:rPr>
          <w:rFonts w:ascii="Garamond" w:hAnsi="Garamond"/>
        </w:rPr>
        <w:t>(s)</w:t>
      </w:r>
      <w:r>
        <w:rPr>
          <w:rFonts w:ascii="Garamond" w:hAnsi="Garamond"/>
        </w:rPr>
        <w:t>, and the</w:t>
      </w:r>
      <w:r w:rsidRPr="00EF625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ANS Technical </w:t>
      </w:r>
      <w:r w:rsidRPr="00EF6251">
        <w:rPr>
          <w:rFonts w:ascii="Garamond" w:hAnsi="Garamond"/>
        </w:rPr>
        <w:t>Division</w:t>
      </w:r>
      <w:r w:rsidR="00177336">
        <w:rPr>
          <w:rFonts w:ascii="Garamond" w:hAnsi="Garamond"/>
        </w:rPr>
        <w:t>(s)</w:t>
      </w:r>
      <w:r w:rsidRPr="00EF6251">
        <w:rPr>
          <w:rFonts w:ascii="Garamond" w:hAnsi="Garamond"/>
        </w:rPr>
        <w:t xml:space="preserve"> for the distribution of excess funds for the Class </w:t>
      </w:r>
      <w:r w:rsidR="00177336">
        <w:rPr>
          <w:rFonts w:ascii="Garamond" w:hAnsi="Garamond"/>
        </w:rPr>
        <w:t>I Topical Meeting listed above.</w:t>
      </w:r>
    </w:p>
    <w:p w:rsidR="00146E6E" w:rsidRPr="0031593F" w:rsidRDefault="00146E6E" w:rsidP="00146E6E">
      <w:pPr>
        <w:tabs>
          <w:tab w:val="left" w:pos="360"/>
          <w:tab w:val="left" w:pos="3060"/>
        </w:tabs>
        <w:rPr>
          <w:rFonts w:ascii="Garamond" w:hAnsi="Garamond"/>
          <w:sz w:val="8"/>
          <w:szCs w:val="8"/>
        </w:rPr>
      </w:pPr>
    </w:p>
    <w:tbl>
      <w:tblPr>
        <w:tblW w:w="10287" w:type="dxa"/>
        <w:jc w:val="center"/>
        <w:tblInd w:w="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170"/>
        <w:gridCol w:w="1260"/>
        <w:gridCol w:w="5436"/>
      </w:tblGrid>
      <w:tr w:rsidR="00D136BF" w:rsidRPr="00895C72" w:rsidTr="00177336">
        <w:trPr>
          <w:trHeight w:val="720"/>
          <w:jc w:val="center"/>
        </w:trPr>
        <w:tc>
          <w:tcPr>
            <w:tcW w:w="10287" w:type="dxa"/>
            <w:gridSpan w:val="4"/>
            <w:vAlign w:val="center"/>
          </w:tcPr>
          <w:p w:rsidR="00D136BF" w:rsidRPr="00D136BF" w:rsidRDefault="00D136BF" w:rsidP="00D136BF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  <w:b/>
              </w:rPr>
              <w:t>DISTRIBUTION OF EXCESS MEETING FUNDS</w:t>
            </w:r>
          </w:p>
        </w:tc>
      </w:tr>
      <w:tr w:rsidR="00636F4B" w:rsidRPr="00895C72" w:rsidTr="00177336">
        <w:trPr>
          <w:trHeight w:val="720"/>
          <w:jc w:val="center"/>
        </w:trPr>
        <w:tc>
          <w:tcPr>
            <w:tcW w:w="2421" w:type="dxa"/>
            <w:vAlign w:val="center"/>
          </w:tcPr>
          <w:p w:rsidR="00636F4B" w:rsidRPr="00D136BF" w:rsidRDefault="00636F4B" w:rsidP="00D136BF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Entity</w:t>
            </w:r>
          </w:p>
        </w:tc>
        <w:tc>
          <w:tcPr>
            <w:tcW w:w="1170" w:type="dxa"/>
            <w:vAlign w:val="center"/>
          </w:tcPr>
          <w:p w:rsidR="00636F4B" w:rsidRPr="00D136BF" w:rsidRDefault="00636F4B" w:rsidP="00146E6E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</w:p>
          <w:p w:rsidR="00636F4B" w:rsidRPr="00D136BF" w:rsidRDefault="00636F4B" w:rsidP="00146E6E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Base Values</w:t>
            </w:r>
          </w:p>
          <w:p w:rsidR="00636F4B" w:rsidRPr="00D136BF" w:rsidRDefault="00636F4B" w:rsidP="00146E6E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</w:p>
        </w:tc>
        <w:tc>
          <w:tcPr>
            <w:tcW w:w="1260" w:type="dxa"/>
            <w:vAlign w:val="center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Percentage</w:t>
            </w:r>
          </w:p>
        </w:tc>
        <w:tc>
          <w:tcPr>
            <w:tcW w:w="5436" w:type="dxa"/>
            <w:vAlign w:val="center"/>
          </w:tcPr>
          <w:p w:rsidR="00636F4B" w:rsidRPr="00D136BF" w:rsidRDefault="00636F4B" w:rsidP="00146E6E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Signatures</w:t>
            </w:r>
          </w:p>
        </w:tc>
      </w:tr>
      <w:tr w:rsidR="00636F4B" w:rsidRPr="00895C72" w:rsidTr="00177336">
        <w:trPr>
          <w:trHeight w:val="1440"/>
          <w:jc w:val="center"/>
        </w:trPr>
        <w:tc>
          <w:tcPr>
            <w:tcW w:w="2421" w:type="dxa"/>
            <w:vAlign w:val="center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American Nuclear Society</w:t>
            </w:r>
          </w:p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(ANS Headquarters)</w:t>
            </w:r>
          </w:p>
        </w:tc>
        <w:tc>
          <w:tcPr>
            <w:tcW w:w="1170" w:type="dxa"/>
            <w:vAlign w:val="center"/>
          </w:tcPr>
          <w:p w:rsidR="00636F4B" w:rsidRPr="00D136BF" w:rsidRDefault="00636F4B" w:rsidP="00146E6E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50%</w:t>
            </w:r>
          </w:p>
        </w:tc>
        <w:tc>
          <w:tcPr>
            <w:tcW w:w="1260" w:type="dxa"/>
            <w:vAlign w:val="center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50%</w:t>
            </w:r>
          </w:p>
        </w:tc>
        <w:tc>
          <w:tcPr>
            <w:tcW w:w="5436" w:type="dxa"/>
            <w:vAlign w:val="bottom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</w:p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</w:p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ANS Director of Meetings, date</w:t>
            </w:r>
          </w:p>
        </w:tc>
      </w:tr>
      <w:tr w:rsidR="00636F4B" w:rsidRPr="00895C72" w:rsidTr="00177336">
        <w:trPr>
          <w:trHeight w:val="1440"/>
          <w:jc w:val="center"/>
        </w:trPr>
        <w:tc>
          <w:tcPr>
            <w:tcW w:w="2421" w:type="dxa"/>
            <w:vAlign w:val="center"/>
          </w:tcPr>
          <w:p w:rsidR="00636F4B" w:rsidRPr="00D136BF" w:rsidRDefault="00636F4B" w:rsidP="00F86ABC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ANS Technical Division</w:t>
            </w:r>
          </w:p>
        </w:tc>
        <w:tc>
          <w:tcPr>
            <w:tcW w:w="1170" w:type="dxa"/>
            <w:vAlign w:val="center"/>
          </w:tcPr>
          <w:p w:rsidR="00636F4B" w:rsidRPr="00D136BF" w:rsidRDefault="00636F4B" w:rsidP="00146E6E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25%</w:t>
            </w:r>
          </w:p>
        </w:tc>
        <w:tc>
          <w:tcPr>
            <w:tcW w:w="1260" w:type="dxa"/>
            <w:vAlign w:val="center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(Enter)</w:t>
            </w:r>
          </w:p>
        </w:tc>
        <w:tc>
          <w:tcPr>
            <w:tcW w:w="5436" w:type="dxa"/>
            <w:vAlign w:val="bottom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Division Chair, date</w:t>
            </w:r>
          </w:p>
        </w:tc>
      </w:tr>
      <w:tr w:rsidR="00636F4B" w:rsidRPr="00895C72" w:rsidTr="00177336">
        <w:trPr>
          <w:trHeight w:val="1440"/>
          <w:jc w:val="center"/>
        </w:trPr>
        <w:tc>
          <w:tcPr>
            <w:tcW w:w="2421" w:type="dxa"/>
            <w:vAlign w:val="center"/>
          </w:tcPr>
          <w:p w:rsidR="00636F4B" w:rsidRPr="00D136BF" w:rsidRDefault="00636F4B" w:rsidP="00F86ABC">
            <w:pPr>
              <w:tabs>
                <w:tab w:val="left" w:pos="360"/>
                <w:tab w:val="left" w:pos="3060"/>
              </w:tabs>
              <w:ind w:left="360" w:hanging="360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 xml:space="preserve">Meeting Host </w:t>
            </w:r>
          </w:p>
          <w:p w:rsidR="00177336" w:rsidRDefault="00636F4B" w:rsidP="00F86ABC">
            <w:pPr>
              <w:tabs>
                <w:tab w:val="left" w:pos="360"/>
                <w:tab w:val="left" w:pos="3060"/>
              </w:tabs>
              <w:ind w:left="360" w:hanging="360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 xml:space="preserve">(ANS Local Section, </w:t>
            </w:r>
          </w:p>
          <w:p w:rsidR="00636F4B" w:rsidRPr="00D136BF" w:rsidRDefault="00636F4B" w:rsidP="00F86ABC">
            <w:pPr>
              <w:tabs>
                <w:tab w:val="left" w:pos="360"/>
                <w:tab w:val="left" w:pos="3060"/>
              </w:tabs>
              <w:ind w:left="360" w:hanging="360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or ANS HQ)</w:t>
            </w:r>
          </w:p>
        </w:tc>
        <w:tc>
          <w:tcPr>
            <w:tcW w:w="1170" w:type="dxa"/>
            <w:vAlign w:val="center"/>
          </w:tcPr>
          <w:p w:rsidR="00636F4B" w:rsidRPr="00D136BF" w:rsidRDefault="00636F4B" w:rsidP="00146E6E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25%</w:t>
            </w:r>
          </w:p>
        </w:tc>
        <w:tc>
          <w:tcPr>
            <w:tcW w:w="1260" w:type="dxa"/>
            <w:vAlign w:val="center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jc w:val="center"/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(Enter)</w:t>
            </w:r>
          </w:p>
        </w:tc>
        <w:tc>
          <w:tcPr>
            <w:tcW w:w="5436" w:type="dxa"/>
            <w:vAlign w:val="bottom"/>
          </w:tcPr>
          <w:p w:rsidR="00636F4B" w:rsidRPr="00D136BF" w:rsidRDefault="00636F4B" w:rsidP="00636F4B">
            <w:pPr>
              <w:tabs>
                <w:tab w:val="left" w:pos="360"/>
                <w:tab w:val="left" w:pos="3060"/>
              </w:tabs>
              <w:rPr>
                <w:rFonts w:ascii="Garamond" w:hAnsi="Garamond"/>
              </w:rPr>
            </w:pPr>
            <w:r w:rsidRPr="00D136BF">
              <w:rPr>
                <w:rFonts w:ascii="Garamond" w:hAnsi="Garamond"/>
              </w:rPr>
              <w:t>Local Section Chair, date</w:t>
            </w:r>
          </w:p>
        </w:tc>
      </w:tr>
    </w:tbl>
    <w:p w:rsidR="00146E6E" w:rsidRDefault="005F76D8" w:rsidP="00146E6E">
      <w:pPr>
        <w:tabs>
          <w:tab w:val="left" w:pos="360"/>
          <w:tab w:val="left" w:pos="3060"/>
        </w:tabs>
        <w:rPr>
          <w:rFonts w:ascii="Garamond" w:hAnsi="Garamond"/>
        </w:rPr>
      </w:pPr>
      <w:r>
        <w:rPr>
          <w:rFonts w:ascii="Garamond" w:hAnsi="Garamond"/>
        </w:rPr>
        <w:t>Please enter all technical divisions and meeting host</w:t>
      </w:r>
      <w:r w:rsidR="00641053">
        <w:rPr>
          <w:rFonts w:ascii="Garamond" w:hAnsi="Garamond"/>
        </w:rPr>
        <w:t>s</w:t>
      </w:r>
      <w:r>
        <w:rPr>
          <w:rFonts w:ascii="Garamond" w:hAnsi="Garamond"/>
        </w:rPr>
        <w:t xml:space="preserve"> by name and include a separate percentage for each entity.</w:t>
      </w:r>
    </w:p>
    <w:p w:rsidR="005F76D8" w:rsidRDefault="005F76D8" w:rsidP="005F76D8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146E6E" w:rsidP="005F76D8">
      <w:pPr>
        <w:tabs>
          <w:tab w:val="left" w:pos="360"/>
          <w:tab w:val="left" w:pos="3060"/>
        </w:tabs>
        <w:rPr>
          <w:rFonts w:ascii="Garamond" w:hAnsi="Garamond"/>
        </w:rPr>
      </w:pPr>
      <w:r>
        <w:rPr>
          <w:rFonts w:ascii="Garamond" w:hAnsi="Garamond"/>
          <w:b/>
          <w:u w:val="single"/>
        </w:rPr>
        <w:t>CONDITIONS</w:t>
      </w:r>
      <w:r>
        <w:rPr>
          <w:rFonts w:ascii="Garamond" w:hAnsi="Garamond"/>
          <w:b/>
        </w:rPr>
        <w:t>:</w:t>
      </w: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146E6E" w:rsidP="00146E6E">
      <w:pPr>
        <w:tabs>
          <w:tab w:val="left" w:pos="360"/>
          <w:tab w:val="left" w:pos="30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A.</w:t>
      </w:r>
      <w:r>
        <w:rPr>
          <w:rFonts w:ascii="Garamond" w:hAnsi="Garamond"/>
        </w:rPr>
        <w:tab/>
        <w:t>All revenue</w:t>
      </w:r>
      <w:r w:rsidR="005F76D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from meeting </w:t>
      </w:r>
      <w:r w:rsidR="00D136BF">
        <w:rPr>
          <w:rFonts w:ascii="Garamond" w:hAnsi="Garamond"/>
        </w:rPr>
        <w:t xml:space="preserve">and meeting related activities </w:t>
      </w:r>
      <w:r w:rsidR="005F76D8">
        <w:rPr>
          <w:rFonts w:ascii="Garamond" w:hAnsi="Garamond"/>
        </w:rPr>
        <w:t>shall</w:t>
      </w:r>
      <w:r>
        <w:rPr>
          <w:rFonts w:ascii="Garamond" w:hAnsi="Garamond"/>
        </w:rPr>
        <w:t xml:space="preserve"> b</w:t>
      </w:r>
      <w:r w:rsidR="000168A9">
        <w:rPr>
          <w:rFonts w:ascii="Garamond" w:hAnsi="Garamond"/>
        </w:rPr>
        <w:t>e included in the budget form and accounted for in the financial report from the meeting</w:t>
      </w:r>
      <w:r>
        <w:rPr>
          <w:rFonts w:ascii="Garamond" w:hAnsi="Garamond"/>
        </w:rPr>
        <w:t>.</w:t>
      </w: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  <w:r>
        <w:rPr>
          <w:rFonts w:ascii="Garamond" w:hAnsi="Garamond"/>
        </w:rPr>
        <w:t>B.</w:t>
      </w:r>
      <w:r>
        <w:rPr>
          <w:rFonts w:ascii="Garamond" w:hAnsi="Garamond"/>
        </w:rPr>
        <w:tab/>
        <w:t xml:space="preserve">The </w:t>
      </w:r>
      <w:r w:rsidR="005F76D8">
        <w:rPr>
          <w:rFonts w:ascii="Garamond" w:hAnsi="Garamond"/>
        </w:rPr>
        <w:t>meeting sha</w:t>
      </w:r>
      <w:r>
        <w:rPr>
          <w:rFonts w:ascii="Garamond" w:hAnsi="Garamond"/>
        </w:rPr>
        <w:t>ll be conducted within the financial parameters of the approved budget.</w:t>
      </w: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146E6E" w:rsidP="00146E6E">
      <w:pPr>
        <w:tabs>
          <w:tab w:val="left" w:pos="360"/>
          <w:tab w:val="left" w:pos="30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C.</w:t>
      </w:r>
      <w:r>
        <w:rPr>
          <w:rFonts w:ascii="Garamond" w:hAnsi="Garamond"/>
        </w:rPr>
        <w:tab/>
        <w:t xml:space="preserve">The </w:t>
      </w:r>
      <w:r w:rsidR="005F76D8">
        <w:rPr>
          <w:rFonts w:ascii="Garamond" w:hAnsi="Garamond"/>
        </w:rPr>
        <w:t xml:space="preserve">percentage for ANS HQ is set at 50% for underwriting the meeting and assuming financial responsibility and legal liabilities.  This value is not negotiable.  The </w:t>
      </w:r>
      <w:r>
        <w:rPr>
          <w:rFonts w:ascii="Garamond" w:hAnsi="Garamond"/>
        </w:rPr>
        <w:t>revenue</w:t>
      </w:r>
      <w:r w:rsidR="005F76D8">
        <w:rPr>
          <w:rFonts w:ascii="Garamond" w:hAnsi="Garamond"/>
        </w:rPr>
        <w:t xml:space="preserve"> split between the ANS Technical Division(s) and Meeting Host(s) is negotiable </w:t>
      </w:r>
      <w:r w:rsidR="00D136BF">
        <w:rPr>
          <w:rFonts w:ascii="Garamond" w:hAnsi="Garamond"/>
        </w:rPr>
        <w:t>and should be</w:t>
      </w:r>
      <w:r w:rsidR="005F76D8">
        <w:rPr>
          <w:rFonts w:ascii="Garamond" w:hAnsi="Garamond"/>
        </w:rPr>
        <w:t xml:space="preserve"> based on the level of contribution of each.</w:t>
      </w: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146E6E" w:rsidP="00D136BF">
      <w:pPr>
        <w:tabs>
          <w:tab w:val="left" w:pos="360"/>
          <w:tab w:val="left" w:pos="30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D.</w:t>
      </w:r>
      <w:r>
        <w:rPr>
          <w:rFonts w:ascii="Garamond" w:hAnsi="Garamond"/>
        </w:rPr>
        <w:tab/>
        <w:t xml:space="preserve">Items not included in the approved budget will be the sole responsibility of the Local </w:t>
      </w:r>
      <w:r w:rsidR="005F76D8">
        <w:rPr>
          <w:rFonts w:ascii="Garamond" w:hAnsi="Garamond"/>
        </w:rPr>
        <w:t>Section and/or Division and shall</w:t>
      </w:r>
      <w:r>
        <w:rPr>
          <w:rFonts w:ascii="Garamond" w:hAnsi="Garamond"/>
        </w:rPr>
        <w:t xml:space="preserve"> be deducted from the monies accruing to the Section and/or Division share </w:t>
      </w:r>
      <w:r w:rsidR="00D136BF">
        <w:rPr>
          <w:rFonts w:ascii="Garamond" w:hAnsi="Garamond"/>
        </w:rPr>
        <w:t>of the proceeds of the meeting.</w:t>
      </w: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D136BF" w:rsidP="004E72A5">
      <w:pPr>
        <w:tabs>
          <w:tab w:val="left" w:pos="360"/>
          <w:tab w:val="left" w:pos="30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E</w:t>
      </w:r>
      <w:r w:rsidR="00146E6E">
        <w:rPr>
          <w:rFonts w:ascii="Garamond" w:hAnsi="Garamond"/>
        </w:rPr>
        <w:t>.</w:t>
      </w:r>
      <w:r w:rsidR="00146E6E">
        <w:rPr>
          <w:rFonts w:ascii="Garamond" w:hAnsi="Garamond"/>
        </w:rPr>
        <w:tab/>
        <w:t>A final meeting report and final ac</w:t>
      </w:r>
      <w:r>
        <w:rPr>
          <w:rFonts w:ascii="Garamond" w:hAnsi="Garamond"/>
        </w:rPr>
        <w:t xml:space="preserve">counting </w:t>
      </w:r>
      <w:r w:rsidR="00146E6E">
        <w:rPr>
          <w:rFonts w:ascii="Garamond" w:hAnsi="Garamond"/>
        </w:rPr>
        <w:t>must be submitted to ANS Headquarters</w:t>
      </w:r>
      <w:r>
        <w:rPr>
          <w:rFonts w:ascii="Garamond" w:hAnsi="Garamond"/>
        </w:rPr>
        <w:t xml:space="preserve"> within 3 months following the last meeting invoice</w:t>
      </w:r>
      <w:r w:rsidR="004E72A5">
        <w:rPr>
          <w:rFonts w:ascii="Garamond" w:hAnsi="Garamond"/>
        </w:rPr>
        <w:t xml:space="preserve">. </w:t>
      </w:r>
      <w:r w:rsidR="00146E6E">
        <w:rPr>
          <w:rFonts w:ascii="Garamond" w:hAnsi="Garamond"/>
        </w:rPr>
        <w:t>The sponsoring Local Section and/or Division will pay the monthly equivalent of a 2.5% over prime penalty to ANS Headquarters on any funds held longer than this three (3) month period and/or will not receive approval to hold subsequent topical meetings (unless extenuating circumstances can be demonstrated.)</w:t>
      </w:r>
      <w:r w:rsidR="000A0373">
        <w:rPr>
          <w:rFonts w:ascii="Garamond" w:hAnsi="Garamond"/>
        </w:rPr>
        <w:t xml:space="preserve"> Upon approval of the meeting closeout report, all monies (minus the local section portion) shall be promptly submitted to ANS HQ.</w:t>
      </w:r>
    </w:p>
    <w:p w:rsidR="00146E6E" w:rsidRDefault="00146E6E" w:rsidP="00146E6E">
      <w:pPr>
        <w:tabs>
          <w:tab w:val="left" w:pos="360"/>
          <w:tab w:val="left" w:pos="3060"/>
        </w:tabs>
        <w:rPr>
          <w:rFonts w:ascii="Garamond" w:hAnsi="Garamond"/>
        </w:rPr>
      </w:pPr>
    </w:p>
    <w:p w:rsidR="00146E6E" w:rsidRDefault="004E72A5" w:rsidP="004E72A5">
      <w:pPr>
        <w:tabs>
          <w:tab w:val="left" w:pos="360"/>
          <w:tab w:val="left" w:pos="3060"/>
        </w:tabs>
        <w:ind w:left="360" w:hanging="360"/>
        <w:rPr>
          <w:rFonts w:ascii="Garamond" w:hAnsi="Garamond"/>
        </w:rPr>
      </w:pPr>
      <w:r>
        <w:rPr>
          <w:rFonts w:ascii="Garamond" w:hAnsi="Garamond"/>
        </w:rPr>
        <w:t>F</w:t>
      </w:r>
      <w:r w:rsidR="00146E6E">
        <w:rPr>
          <w:rFonts w:ascii="Garamond" w:hAnsi="Garamond"/>
        </w:rPr>
        <w:t>.</w:t>
      </w:r>
      <w:r w:rsidR="00146E6E">
        <w:rPr>
          <w:rFonts w:ascii="Garamond" w:hAnsi="Garamond"/>
        </w:rPr>
        <w:tab/>
        <w:t>For meetings that have obtained government grants, all record keeping and final government grant closeout reporting is the respo</w:t>
      </w:r>
      <w:r>
        <w:rPr>
          <w:rFonts w:ascii="Garamond" w:hAnsi="Garamond"/>
        </w:rPr>
        <w:t>nsibility of the Local Section.</w:t>
      </w:r>
    </w:p>
    <w:sectPr w:rsidR="00146E6E" w:rsidSect="00D33DCB">
      <w:footerReference w:type="default" r:id="rId7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CC" w:rsidRDefault="005F7CCC" w:rsidP="00D33DCB">
      <w:r>
        <w:separator/>
      </w:r>
    </w:p>
  </w:endnote>
  <w:endnote w:type="continuationSeparator" w:id="0">
    <w:p w:rsidR="005F7CCC" w:rsidRDefault="005F7CCC" w:rsidP="00D3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CB" w:rsidRPr="00D33DCB" w:rsidRDefault="00D33DCB" w:rsidP="00D33DCB">
    <w:pPr>
      <w:pStyle w:val="Footer"/>
      <w:jc w:val="right"/>
      <w:rPr>
        <w:rFonts w:ascii="Garamond" w:hAnsi="Garamond"/>
      </w:rPr>
    </w:pPr>
    <w:r w:rsidRPr="00D33DCB">
      <w:rPr>
        <w:rFonts w:ascii="Garamond" w:hAnsi="Garamond"/>
      </w:rPr>
      <w:t>Form Date: May 15, 2013</w:t>
    </w:r>
  </w:p>
  <w:p w:rsidR="00D33DCB" w:rsidRDefault="00D3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CC" w:rsidRDefault="005F7CCC" w:rsidP="00D33DCB">
      <w:r>
        <w:separator/>
      </w:r>
    </w:p>
  </w:footnote>
  <w:footnote w:type="continuationSeparator" w:id="0">
    <w:p w:rsidR="005F7CCC" w:rsidRDefault="005F7CCC" w:rsidP="00D3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6E"/>
    <w:rsid w:val="000168A9"/>
    <w:rsid w:val="000A0373"/>
    <w:rsid w:val="00146E6E"/>
    <w:rsid w:val="00177336"/>
    <w:rsid w:val="004236C5"/>
    <w:rsid w:val="004457B3"/>
    <w:rsid w:val="004E72A5"/>
    <w:rsid w:val="005F76D8"/>
    <w:rsid w:val="005F7CCC"/>
    <w:rsid w:val="00636F4B"/>
    <w:rsid w:val="00641053"/>
    <w:rsid w:val="00AC32AD"/>
    <w:rsid w:val="00C022A2"/>
    <w:rsid w:val="00CA3ABE"/>
    <w:rsid w:val="00D136BF"/>
    <w:rsid w:val="00D33DCB"/>
    <w:rsid w:val="00E82576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6E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CB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CB"/>
    <w:rPr>
      <w:rFonts w:ascii="Tahoma" w:eastAsia="Calibri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C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E6E"/>
    <w:pPr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CB"/>
    <w:rPr>
      <w:rFonts w:ascii="Tahoma" w:eastAsia="Calibri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33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CB"/>
    <w:rPr>
      <w:rFonts w:ascii="Tahoma" w:eastAsia="Calibri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C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Klann, Raymond</dc:creator>
  <cp:lastModifiedBy>Ashley Jiminian</cp:lastModifiedBy>
  <cp:revision>2</cp:revision>
  <dcterms:created xsi:type="dcterms:W3CDTF">2013-07-02T20:07:00Z</dcterms:created>
  <dcterms:modified xsi:type="dcterms:W3CDTF">2013-07-02T20:07:00Z</dcterms:modified>
</cp:coreProperties>
</file>